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44"/>
        </w:rPr>
      </w:pPr>
    </w:p>
    <w:p>
      <w:pPr>
        <w:spacing w:line="6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lang w:eastAsia="zh-CN"/>
        </w:rPr>
        <w:t>2023</w:t>
      </w:r>
      <w:r>
        <w:rPr>
          <w:rFonts w:hint="eastAsia" w:asciiTheme="majorEastAsia" w:hAnsiTheme="majorEastAsia" w:eastAsiaTheme="majorEastAsia"/>
          <w:b/>
          <w:sz w:val="44"/>
          <w:szCs w:val="44"/>
        </w:rPr>
        <w:t>年中共驻马店市委网络安全和信息化</w:t>
      </w:r>
    </w:p>
    <w:p>
      <w:pPr>
        <w:spacing w:line="600" w:lineRule="exac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委员会办公室部门预算</w:t>
      </w:r>
      <w:r>
        <w:rPr>
          <w:rFonts w:hint="eastAsia" w:asciiTheme="majorEastAsia" w:hAnsiTheme="majorEastAsia" w:eastAsiaTheme="majorEastAsia"/>
          <w:b/>
          <w:sz w:val="44"/>
          <w:szCs w:val="44"/>
          <w:lang w:val="en-US" w:eastAsia="zh-CN"/>
        </w:rPr>
        <w:t>说明</w:t>
      </w:r>
    </w:p>
    <w:p>
      <w:pPr>
        <w:widowControl/>
        <w:spacing w:line="600" w:lineRule="exact"/>
        <w:ind w:firstLine="480"/>
        <w:jc w:val="center"/>
        <w:rPr>
          <w:rFonts w:ascii="仿宋" w:hAnsi="仿宋" w:eastAsia="仿宋" w:cs="Times New Roman"/>
          <w:b/>
          <w:bCs/>
          <w:kern w:val="0"/>
          <w:sz w:val="32"/>
          <w:szCs w:val="32"/>
        </w:rPr>
      </w:pPr>
    </w:p>
    <w:p>
      <w:pPr>
        <w:widowControl/>
        <w:spacing w:line="600" w:lineRule="exact"/>
        <w:ind w:firstLine="480"/>
        <w:jc w:val="center"/>
        <w:rPr>
          <w:rFonts w:ascii="宋体" w:cs="Times New Roman"/>
          <w:b/>
          <w:bCs/>
          <w:kern w:val="0"/>
          <w:sz w:val="52"/>
          <w:szCs w:val="52"/>
        </w:rPr>
      </w:pPr>
      <w:r>
        <w:rPr>
          <w:rFonts w:hint="eastAsia" w:ascii="宋体" w:hAnsi="宋体" w:cs="宋体"/>
          <w:b/>
          <w:bCs/>
          <w:kern w:val="0"/>
          <w:sz w:val="52"/>
          <w:szCs w:val="52"/>
        </w:rPr>
        <w:t>目</w:t>
      </w:r>
      <w:r>
        <w:rPr>
          <w:rFonts w:ascii="宋体" w:hAnsi="宋体" w:cs="宋体"/>
          <w:b/>
          <w:bCs/>
          <w:kern w:val="0"/>
          <w:sz w:val="52"/>
          <w:szCs w:val="52"/>
        </w:rPr>
        <w:t xml:space="preserve">  </w:t>
      </w:r>
      <w:r>
        <w:rPr>
          <w:rFonts w:hint="eastAsia" w:ascii="宋体" w:hAnsi="宋体" w:cs="宋体"/>
          <w:b/>
          <w:bCs/>
          <w:kern w:val="0"/>
          <w:sz w:val="52"/>
          <w:szCs w:val="52"/>
        </w:rPr>
        <w:t>录</w:t>
      </w:r>
    </w:p>
    <w:p>
      <w:pPr>
        <w:widowControl/>
        <w:spacing w:line="600" w:lineRule="exact"/>
        <w:ind w:firstLine="627" w:firstLineChars="196"/>
        <w:rPr>
          <w:rFonts w:ascii="黑体" w:hAnsi="黑体" w:eastAsia="黑体" w:cs="Times New Roman"/>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 xml:space="preserve"> </w:t>
      </w:r>
      <w:r>
        <w:rPr>
          <w:rFonts w:hint="eastAsia" w:ascii="黑体" w:hAnsi="黑体" w:eastAsia="黑体" w:cs="黑体"/>
          <w:kern w:val="0"/>
          <w:sz w:val="32"/>
          <w:szCs w:val="32"/>
        </w:rPr>
        <w:t xml:space="preserve">中共驻马店市委网络安全和信息化委员会办公室概况 </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一、主要职能</w:t>
      </w:r>
    </w:p>
    <w:p>
      <w:pPr>
        <w:spacing w:line="600" w:lineRule="exact"/>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二、机构设置及预算单位构成</w:t>
      </w:r>
    </w:p>
    <w:p>
      <w:pPr>
        <w:spacing w:line="600" w:lineRule="exact"/>
        <w:ind w:firstLine="640" w:firstLineChars="200"/>
        <w:rPr>
          <w:rFonts w:ascii="仿宋" w:hAnsi="仿宋" w:eastAsia="仿宋" w:cs="Times New Roman"/>
          <w:kern w:val="0"/>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第二部分</w:t>
      </w:r>
      <w:r>
        <w:rPr>
          <w:rFonts w:ascii="黑体" w:hAnsi="黑体" w:eastAsia="黑体" w:cs="黑体"/>
          <w:kern w:val="0"/>
          <w:sz w:val="32"/>
          <w:szCs w:val="32"/>
        </w:rPr>
        <w:t xml:space="preserve"> </w:t>
      </w:r>
      <w:r>
        <w:rPr>
          <w:rFonts w:hint="eastAsia" w:ascii="黑体" w:hAnsi="黑体" w:eastAsia="黑体" w:cs="黑体"/>
          <w:kern w:val="0"/>
          <w:sz w:val="32"/>
          <w:szCs w:val="32"/>
        </w:rPr>
        <w:t>中共驻马店市委网络安全和信息化委员会办公室</w:t>
      </w:r>
      <w:r>
        <w:rPr>
          <w:rFonts w:hint="eastAsia" w:ascii="黑体" w:hAnsi="黑体" w:eastAsia="黑体" w:cs="黑体"/>
          <w:kern w:val="0"/>
          <w:sz w:val="32"/>
          <w:szCs w:val="32"/>
          <w:lang w:eastAsia="zh-CN"/>
        </w:rPr>
        <w:t>2023</w:t>
      </w:r>
      <w:r>
        <w:rPr>
          <w:rFonts w:hint="eastAsia" w:ascii="黑体" w:hAnsi="黑体" w:eastAsia="黑体" w:cs="黑体"/>
          <w:kern w:val="0"/>
          <w:sz w:val="32"/>
          <w:szCs w:val="32"/>
        </w:rPr>
        <w:t>年度部门预算情况说明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二、收入预算总体情况说明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四、财政拨款收入支出预算总体情况说明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五、一般公共预算支出预算情况说明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六、一般公共预算基本支出预算情况说明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七、政府性基金预算支出</w:t>
      </w:r>
      <w:r>
        <w:rPr>
          <w:rFonts w:hint="eastAsia" w:ascii="仿宋" w:hAnsi="仿宋" w:eastAsia="仿宋"/>
          <w:sz w:val="32"/>
          <w:szCs w:val="32"/>
          <w:lang w:eastAsia="zh-CN"/>
        </w:rPr>
        <w:t>预</w:t>
      </w:r>
      <w:r>
        <w:rPr>
          <w:rFonts w:hint="eastAsia" w:ascii="仿宋" w:hAnsi="仿宋" w:eastAsia="仿宋"/>
          <w:sz w:val="32"/>
          <w:szCs w:val="32"/>
        </w:rPr>
        <w:t>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八、“三公”经费支出预算情况说明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九、其他重要事项的情况说明</w:t>
      </w:r>
    </w:p>
    <w:p>
      <w:pPr>
        <w:widowControl/>
        <w:spacing w:line="600" w:lineRule="exact"/>
        <w:ind w:firstLine="640" w:firstLineChars="200"/>
        <w:rPr>
          <w:rFonts w:hint="eastAsia" w:ascii="黑体" w:hAnsi="黑体" w:eastAsia="黑体" w:cs="黑体"/>
          <w:kern w:val="0"/>
          <w:sz w:val="32"/>
          <w:szCs w:val="32"/>
        </w:rPr>
      </w:pPr>
    </w:p>
    <w:p>
      <w:pPr>
        <w:widowControl/>
        <w:spacing w:line="600" w:lineRule="exact"/>
        <w:ind w:firstLine="640" w:firstLineChars="200"/>
        <w:rPr>
          <w:rFonts w:hint="eastAsia" w:ascii="黑体" w:hAnsi="黑体" w:eastAsia="黑体" w:cs="黑体"/>
          <w:kern w:val="0"/>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黑体" w:hAnsi="黑体" w:eastAsia="黑体" w:cs="黑体"/>
          <w:kern w:val="0"/>
          <w:sz w:val="32"/>
          <w:szCs w:val="32"/>
        </w:rPr>
        <w:t>名词解释</w:t>
      </w: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附件：中共驻马店市委网络安全和信息化委员会办公室</w:t>
      </w:r>
      <w:r>
        <w:rPr>
          <w:rFonts w:hint="eastAsia" w:ascii="黑体" w:hAnsi="黑体" w:eastAsia="黑体" w:cs="黑体"/>
          <w:kern w:val="0"/>
          <w:sz w:val="32"/>
          <w:szCs w:val="32"/>
          <w:lang w:eastAsia="zh-CN"/>
        </w:rPr>
        <w:t>2023</w:t>
      </w:r>
      <w:r>
        <w:rPr>
          <w:rFonts w:hint="eastAsia" w:ascii="黑体" w:hAnsi="黑体" w:eastAsia="黑体" w:cs="黑体"/>
          <w:kern w:val="0"/>
          <w:sz w:val="32"/>
          <w:szCs w:val="32"/>
        </w:rPr>
        <w:t>年度部门预算表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一、部门收支总体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二、部门收入总体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三、部门支出总体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四、财政拨款收支</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五、一般公共预算支出</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六、一般公共预算基本支出表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七</w:t>
      </w:r>
      <w:r>
        <w:rPr>
          <w:rFonts w:hint="eastAsia" w:ascii="仿宋" w:hAnsi="仿宋" w:eastAsia="仿宋" w:cs="仿宋_GB2312"/>
          <w:kern w:val="0"/>
          <w:sz w:val="32"/>
          <w:szCs w:val="32"/>
        </w:rPr>
        <w:t>、支出经济分类汇总表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八</w:t>
      </w:r>
      <w:r>
        <w:rPr>
          <w:rFonts w:hint="eastAsia" w:ascii="仿宋" w:hAnsi="仿宋" w:eastAsia="仿宋" w:cs="仿宋_GB2312"/>
          <w:kern w:val="0"/>
          <w:sz w:val="32"/>
          <w:szCs w:val="32"/>
        </w:rPr>
        <w:t>、一般公共预算“三公”经费</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lang w:eastAsia="zh-CN"/>
        </w:rPr>
        <w:t>九</w:t>
      </w:r>
      <w:r>
        <w:rPr>
          <w:rFonts w:hint="eastAsia" w:ascii="仿宋" w:hAnsi="仿宋" w:eastAsia="仿宋" w:cs="仿宋_GB2312"/>
          <w:kern w:val="0"/>
          <w:sz w:val="32"/>
          <w:szCs w:val="32"/>
        </w:rPr>
        <w:t>、政府性基金预算支出</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项目支出预算表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十一、市级部门（单位）整体绩效目标表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十二、市级部门预算项目绩效目标汇总表</w:t>
      </w:r>
    </w:p>
    <w:p>
      <w:r>
        <w:br w:type="page"/>
      </w:r>
    </w:p>
    <w:p>
      <w:pPr>
        <w:keepNext w:val="0"/>
        <w:keepLines w:val="0"/>
        <w:pageBreakBefore w:val="0"/>
        <w:widowControl w:val="0"/>
        <w:wordWrap/>
        <w:topLinePunct w:val="0"/>
        <w:bidi w:val="0"/>
        <w:spacing w:line="600" w:lineRule="exact"/>
        <w:jc w:val="center"/>
        <w:textAlignment w:val="auto"/>
        <w:rPr>
          <w:rFonts w:hint="eastAsia" w:ascii="黑体" w:hAnsi="黑体" w:eastAsia="黑体" w:cs="Times New Roman"/>
          <w:sz w:val="36"/>
          <w:szCs w:val="36"/>
        </w:rPr>
      </w:pPr>
      <w:r>
        <w:rPr>
          <w:rFonts w:hint="eastAsia" w:ascii="黑体" w:hAnsi="黑体" w:eastAsia="黑体" w:cs="Times New Roman"/>
          <w:sz w:val="36"/>
          <w:szCs w:val="36"/>
        </w:rPr>
        <w:t>第一部分</w:t>
      </w:r>
    </w:p>
    <w:p>
      <w:pPr>
        <w:keepNext w:val="0"/>
        <w:keepLines w:val="0"/>
        <w:pageBreakBefore w:val="0"/>
        <w:widowControl w:val="0"/>
        <w:wordWrap/>
        <w:topLinePunct w:val="0"/>
        <w:bidi w:val="0"/>
        <w:adjustRightInd w:val="0"/>
        <w:snapToGrid w:val="0"/>
        <w:spacing w:line="600" w:lineRule="exact"/>
        <w:jc w:val="center"/>
        <w:textAlignment w:val="auto"/>
        <w:rPr>
          <w:rFonts w:hint="eastAsia" w:ascii="黑体" w:hAnsi="黑体" w:eastAsia="黑体" w:cs="Times New Roman"/>
          <w:spacing w:val="0"/>
          <w:sz w:val="32"/>
          <w:szCs w:val="32"/>
        </w:rPr>
      </w:pPr>
      <w:r>
        <w:rPr>
          <w:rFonts w:hint="eastAsia" w:ascii="黑体" w:hAnsi="黑体" w:eastAsia="黑体" w:cs="Times New Roman"/>
          <w:spacing w:val="0"/>
          <w:sz w:val="36"/>
          <w:szCs w:val="36"/>
          <w:lang w:val="en-US" w:eastAsia="zh-CN"/>
        </w:rPr>
        <w:t>中共</w:t>
      </w:r>
      <w:r>
        <w:rPr>
          <w:rFonts w:hint="eastAsia" w:ascii="黑体" w:hAnsi="黑体" w:eastAsia="黑体" w:cs="Times New Roman"/>
          <w:spacing w:val="0"/>
          <w:sz w:val="36"/>
          <w:szCs w:val="36"/>
        </w:rPr>
        <w:t>驻马店市</w:t>
      </w:r>
      <w:r>
        <w:rPr>
          <w:rFonts w:hint="eastAsia" w:ascii="黑体" w:hAnsi="黑体" w:eastAsia="黑体" w:cs="Times New Roman"/>
          <w:spacing w:val="0"/>
          <w:sz w:val="36"/>
          <w:szCs w:val="36"/>
          <w:lang w:val="en-US" w:eastAsia="zh-CN"/>
        </w:rPr>
        <w:t>委网络安全和信息化委员会</w:t>
      </w:r>
      <w:r>
        <w:rPr>
          <w:rFonts w:hint="eastAsia" w:ascii="黑体" w:hAnsi="黑体" w:eastAsia="黑体" w:cs="Times New Roman"/>
          <w:spacing w:val="0"/>
          <w:sz w:val="36"/>
          <w:szCs w:val="36"/>
        </w:rPr>
        <w:t>办公室概况</w:t>
      </w:r>
    </w:p>
    <w:p>
      <w:pPr>
        <w:keepNext w:val="0"/>
        <w:keepLines w:val="0"/>
        <w:pageBreakBefore w:val="0"/>
        <w:widowControl w:val="0"/>
        <w:wordWrap/>
        <w:topLinePunct w:val="0"/>
        <w:bidi w:val="0"/>
        <w:adjustRightInd w:val="0"/>
        <w:snapToGrid w:val="0"/>
        <w:spacing w:line="600" w:lineRule="exact"/>
        <w:ind w:firstLine="640" w:firstLineChars="200"/>
        <w:jc w:val="both"/>
        <w:textAlignment w:val="auto"/>
        <w:rPr>
          <w:rFonts w:hint="eastAsia" w:ascii="黑体" w:hAnsi="黑体" w:eastAsia="黑体" w:cs="Times New Roman"/>
          <w:spacing w:val="0"/>
          <w:sz w:val="32"/>
          <w:szCs w:val="32"/>
        </w:rPr>
      </w:pPr>
    </w:p>
    <w:p>
      <w:pPr>
        <w:keepNext w:val="0"/>
        <w:keepLines w:val="0"/>
        <w:pageBreakBefore w:val="0"/>
        <w:widowControl w:val="0"/>
        <w:wordWrap/>
        <w:topLinePunct w:val="0"/>
        <w:bidi w:val="0"/>
        <w:adjustRightInd w:val="0"/>
        <w:snapToGrid w:val="0"/>
        <w:spacing w:line="600" w:lineRule="exact"/>
        <w:ind w:firstLine="640" w:firstLineChars="200"/>
        <w:jc w:val="both"/>
        <w:textAlignment w:val="auto"/>
        <w:rPr>
          <w:rFonts w:ascii="黑体" w:hAnsi="黑体" w:eastAsia="黑体" w:cs="Times New Roman"/>
          <w:spacing w:val="-6"/>
          <w:sz w:val="32"/>
          <w:szCs w:val="32"/>
        </w:rPr>
      </w:pPr>
      <w:r>
        <w:rPr>
          <w:rFonts w:hint="eastAsia" w:ascii="黑体" w:hAnsi="黑体" w:eastAsia="黑体" w:cs="Times New Roman"/>
          <w:spacing w:val="0"/>
          <w:sz w:val="32"/>
          <w:szCs w:val="32"/>
        </w:rPr>
        <w:t>一、</w:t>
      </w:r>
      <w:r>
        <w:rPr>
          <w:rFonts w:hint="eastAsia" w:ascii="黑体" w:hAnsi="黑体" w:eastAsia="黑体" w:cs="Times New Roman"/>
          <w:spacing w:val="-6"/>
          <w:sz w:val="32"/>
          <w:szCs w:val="32"/>
          <w:lang w:val="en-US" w:eastAsia="zh-CN"/>
        </w:rPr>
        <w:t>中共</w:t>
      </w:r>
      <w:r>
        <w:rPr>
          <w:rFonts w:hint="eastAsia" w:ascii="黑体" w:hAnsi="黑体" w:eastAsia="黑体" w:cs="Times New Roman"/>
          <w:spacing w:val="-6"/>
          <w:sz w:val="32"/>
          <w:szCs w:val="32"/>
        </w:rPr>
        <w:t>驻马店市</w:t>
      </w:r>
      <w:r>
        <w:rPr>
          <w:rFonts w:hint="eastAsia" w:ascii="黑体" w:hAnsi="黑体" w:eastAsia="黑体" w:cs="Times New Roman"/>
          <w:spacing w:val="-6"/>
          <w:sz w:val="32"/>
          <w:szCs w:val="32"/>
          <w:lang w:val="en-US" w:eastAsia="zh-CN"/>
        </w:rPr>
        <w:t>委网络安全和信息化委员会</w:t>
      </w:r>
      <w:r>
        <w:rPr>
          <w:rFonts w:hint="eastAsia" w:ascii="黑体" w:hAnsi="黑体" w:eastAsia="黑体" w:cs="Times New Roman"/>
          <w:spacing w:val="-6"/>
          <w:sz w:val="32"/>
          <w:szCs w:val="32"/>
        </w:rPr>
        <w:t>办公室主要职责</w:t>
      </w:r>
    </w:p>
    <w:p>
      <w:pPr>
        <w:keepNext w:val="0"/>
        <w:keepLines w:val="0"/>
        <w:pageBreakBefore w:val="0"/>
        <w:widowControl w:val="0"/>
        <w:wordWrap/>
        <w:topLinePunct w:val="0"/>
        <w:bidi w:val="0"/>
        <w:adjustRightInd w:val="0"/>
        <w:snapToGrid w:val="0"/>
        <w:spacing w:line="60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pacing w:val="0"/>
          <w:sz w:val="32"/>
          <w:szCs w:val="32"/>
        </w:rPr>
        <w:t>根据</w:t>
      </w:r>
      <w:r>
        <w:rPr>
          <w:rFonts w:hint="eastAsia" w:ascii="仿宋_GB2312" w:hAnsi="仿宋" w:eastAsia="仿宋_GB2312" w:cs="仿宋_GB2312"/>
          <w:spacing w:val="0"/>
          <w:sz w:val="32"/>
          <w:szCs w:val="32"/>
          <w:lang w:val="en-US" w:eastAsia="zh-CN"/>
        </w:rPr>
        <w:t>《中共驻马店市委驻马店市人民政府关于印发&lt;驻马店市机构改革方案&gt;的通知》（驻发</w:t>
      </w:r>
      <w:r>
        <w:rPr>
          <w:rFonts w:hint="eastAsia" w:ascii="仿宋_GB2312" w:hAnsi="仿宋" w:eastAsia="仿宋_GB2312" w:cs="仿宋_GB2312"/>
          <w:spacing w:val="0"/>
          <w:sz w:val="32"/>
          <w:szCs w:val="32"/>
        </w:rPr>
        <w:t>〔</w:t>
      </w:r>
      <w:r>
        <w:rPr>
          <w:rFonts w:ascii="仿宋_GB2312" w:hAnsi="仿宋" w:eastAsia="仿宋_GB2312" w:cs="仿宋_GB2312"/>
          <w:spacing w:val="0"/>
          <w:sz w:val="32"/>
          <w:szCs w:val="32"/>
        </w:rPr>
        <w:t>201</w:t>
      </w:r>
      <w:r>
        <w:rPr>
          <w:rFonts w:hint="eastAsia" w:ascii="仿宋_GB2312" w:hAnsi="仿宋" w:eastAsia="仿宋_GB2312" w:cs="仿宋_GB2312"/>
          <w:spacing w:val="0"/>
          <w:sz w:val="32"/>
          <w:szCs w:val="32"/>
          <w:lang w:val="en-US" w:eastAsia="zh-CN"/>
        </w:rPr>
        <w:t>8</w:t>
      </w:r>
      <w:r>
        <w:rPr>
          <w:rFonts w:hint="eastAsia" w:ascii="仿宋_GB2312" w:hAnsi="仿宋" w:eastAsia="仿宋_GB2312" w:cs="仿宋_GB2312"/>
          <w:spacing w:val="0"/>
          <w:sz w:val="32"/>
          <w:szCs w:val="32"/>
        </w:rPr>
        <w:t>〕</w:t>
      </w:r>
      <w:r>
        <w:rPr>
          <w:rFonts w:hint="eastAsia" w:ascii="仿宋_GB2312" w:hAnsi="仿宋" w:eastAsia="仿宋_GB2312" w:cs="仿宋_GB2312"/>
          <w:spacing w:val="0"/>
          <w:sz w:val="32"/>
          <w:szCs w:val="32"/>
          <w:lang w:val="en-US" w:eastAsia="zh-CN"/>
        </w:rPr>
        <w:t>23</w:t>
      </w:r>
      <w:r>
        <w:rPr>
          <w:rFonts w:hint="eastAsia" w:ascii="仿宋_GB2312" w:hAnsi="仿宋" w:eastAsia="仿宋_GB2312" w:cs="仿宋_GB2312"/>
          <w:spacing w:val="0"/>
          <w:sz w:val="32"/>
          <w:szCs w:val="32"/>
        </w:rPr>
        <w:t>号</w:t>
      </w:r>
      <w:r>
        <w:rPr>
          <w:rFonts w:hint="eastAsia" w:ascii="仿宋_GB2312" w:hAnsi="仿宋" w:eastAsia="仿宋_GB2312" w:cs="仿宋_GB2312"/>
          <w:spacing w:val="0"/>
          <w:sz w:val="32"/>
          <w:szCs w:val="32"/>
          <w:lang w:val="en-US" w:eastAsia="zh-CN"/>
        </w:rPr>
        <w:t>）及中共驻马店</w:t>
      </w:r>
      <w:r>
        <w:rPr>
          <w:rFonts w:hint="eastAsia" w:ascii="仿宋_GB2312" w:hAnsi="仿宋" w:eastAsia="仿宋_GB2312" w:cs="仿宋_GB2312"/>
          <w:sz w:val="32"/>
          <w:szCs w:val="32"/>
          <w:lang w:val="en-US" w:eastAsia="zh-CN"/>
        </w:rPr>
        <w:t>市委办公室《中共驻马店市委办公室关于印发&lt;中共驻马店市委网络安全和信息化委员会办公室职能配置内设机构和人员编制规定&gt;的通知》（驻办文</w:t>
      </w:r>
      <w:r>
        <w:rPr>
          <w:rFonts w:hint="eastAsia" w:ascii="仿宋_GB2312" w:hAnsi="仿宋" w:eastAsia="仿宋_GB2312" w:cs="仿宋_GB2312"/>
          <w:sz w:val="32"/>
          <w:szCs w:val="32"/>
        </w:rPr>
        <w:t>〔</w:t>
      </w: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19</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28</w:t>
      </w:r>
      <w:r>
        <w:rPr>
          <w:rFonts w:hint="eastAsia" w:ascii="仿宋_GB2312" w:hAnsi="仿宋" w:eastAsia="仿宋_GB2312" w:cs="仿宋_GB2312"/>
          <w:sz w:val="32"/>
          <w:szCs w:val="32"/>
        </w:rPr>
        <w:t>号</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文件规定，驻马店市委网络安全和信息化委员会办公室为</w:t>
      </w:r>
      <w:r>
        <w:rPr>
          <w:rFonts w:hint="eastAsia" w:ascii="仿宋_GB2312" w:hAnsi="仿宋" w:eastAsia="仿宋_GB2312" w:cs="仿宋_GB2312"/>
          <w:sz w:val="32"/>
          <w:szCs w:val="32"/>
          <w:lang w:val="en-US" w:eastAsia="zh-CN"/>
        </w:rPr>
        <w:t>市委工作机关</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挂驻马店市互联网信息办公室牌子，</w:t>
      </w:r>
      <w:r>
        <w:rPr>
          <w:rFonts w:hint="eastAsia" w:ascii="仿宋_GB2312" w:hAnsi="仿宋" w:eastAsia="仿宋_GB2312" w:cs="仿宋_GB2312"/>
          <w:sz w:val="32"/>
          <w:szCs w:val="32"/>
        </w:rPr>
        <w:t>主要职责是：</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（一）</w:t>
      </w:r>
      <w:r>
        <w:rPr>
          <w:rFonts w:hint="eastAsia" w:ascii="仿宋_GB2312" w:hAnsi="仿宋" w:eastAsia="仿宋_GB2312" w:cs="Times New Roman"/>
          <w:sz w:val="32"/>
          <w:szCs w:val="32"/>
        </w:rPr>
        <w:t>贯彻落实中央关于网络安全和信息化工作的方针政策及省委、省政府和市委、市政府部署，研究拟订全市网络安全和信息化发展规划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统筹推进网络安全和信息化领域国家标准的组织实施。</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w:t>
      </w:r>
      <w:r>
        <w:rPr>
          <w:rFonts w:hint="eastAsia" w:ascii="仿宋_GB2312" w:hAnsi="仿宋" w:eastAsia="仿宋_GB2312" w:cs="Times New Roman"/>
          <w:sz w:val="32"/>
          <w:szCs w:val="32"/>
        </w:rPr>
        <w:t>组织开展对涉及全市政治、经济、文化、社会等各领域的网络安全重大问题研究，指导推进全市党政部门、重点行业网络安全保障和信息化工作，协调推动公共服务和社会治理信息化</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协调督促有关方面落实委员会的决定事项，推进网络强市建设。</w:t>
      </w:r>
      <w:r>
        <w:rPr>
          <w:rFonts w:ascii="仿宋_GB2312" w:hAnsi="仿宋" w:eastAsia="仿宋_GB2312" w:cs="仿宋_GB2312"/>
          <w:sz w:val="32"/>
          <w:szCs w:val="32"/>
        </w:rPr>
        <w:t xml:space="preserve">                                                                                                                                                                                                                                        </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（三）</w:t>
      </w:r>
      <w:r>
        <w:rPr>
          <w:rFonts w:hint="eastAsia" w:ascii="仿宋_GB2312" w:hAnsi="仿宋" w:eastAsia="仿宋_GB2312" w:cs="Times New Roman"/>
          <w:sz w:val="32"/>
          <w:szCs w:val="32"/>
        </w:rPr>
        <w:t>统筹协调全市网络安全保障体系和可信体系建设有关工作，配合有关部门落实相关行业网络安全规划及保障评价指标体系，协调信息安全保护工作</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统筹推进全市网络安全和信息化军民融合深度发展；负责统筹网络安全信息共享和通报，协调处置全市网络安全和信息化重大突发事件与有关应急工作。</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（四）</w:t>
      </w:r>
      <w:r>
        <w:rPr>
          <w:rFonts w:hint="eastAsia" w:ascii="仿宋_GB2312" w:hAnsi="仿宋" w:eastAsia="仿宋_GB2312" w:cs="Times New Roman"/>
          <w:sz w:val="32"/>
          <w:szCs w:val="32"/>
        </w:rPr>
        <w:t>依法履行全市网络安全和信息化行政管理职能</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w:t>
      </w:r>
      <w:r>
        <w:rPr>
          <w:rFonts w:hint="eastAsia" w:ascii="仿宋_GB2312" w:hAnsi="仿宋" w:eastAsia="仿宋_GB2312" w:cs="Times New Roman"/>
          <w:sz w:val="32"/>
          <w:szCs w:val="32"/>
          <w:lang w:val="en-US" w:eastAsia="zh-CN"/>
        </w:rPr>
        <w:t>全市互联网信息内容管理，统筹协调组织互联网宣传管理和舆论引导工作，维护网络意识形态安全；负责全市互联网信息内容监督管理执法，组织开展全市网络舆论生态治理，处置网上有害信息，依据相关法律法规和规定查处有关违法违规行为和网站。</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（五）负责</w:t>
      </w:r>
      <w:r>
        <w:rPr>
          <w:rFonts w:hint="eastAsia" w:ascii="仿宋_GB2312" w:hAnsi="仿宋" w:eastAsia="仿宋_GB2312" w:cs="Times New Roman"/>
          <w:sz w:val="32"/>
          <w:szCs w:val="32"/>
        </w:rPr>
        <w:t>指导协调全市网络舆情工作，组织开展网络舆情信息收集分析研判工作，跟踪了解和掌握网络舆情动态，指导涉事部门和地方做好重大网络舆情的应对处置</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六</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推动网络阵地建设，</w:t>
      </w:r>
      <w:r>
        <w:rPr>
          <w:rFonts w:hint="eastAsia" w:ascii="仿宋_GB2312" w:hAnsi="仿宋" w:eastAsia="仿宋_GB2312" w:cs="Times New Roman"/>
          <w:sz w:val="32"/>
          <w:szCs w:val="32"/>
          <w:lang w:val="en-US" w:eastAsia="zh-CN"/>
        </w:rPr>
        <w:t>指导全市重点新闻网站规划建设，协调网络游戏、网络视听、网络出版等相关业务，</w:t>
      </w:r>
      <w:r>
        <w:rPr>
          <w:rFonts w:hint="eastAsia" w:ascii="仿宋_GB2312" w:hAnsi="仿宋" w:eastAsia="仿宋_GB2312" w:cs="Times New Roman"/>
          <w:sz w:val="32"/>
          <w:szCs w:val="32"/>
        </w:rPr>
        <w:t>推动</w:t>
      </w:r>
      <w:r>
        <w:rPr>
          <w:rFonts w:hint="eastAsia" w:ascii="仿宋_GB2312" w:hAnsi="仿宋" w:eastAsia="仿宋_GB2312" w:cs="Times New Roman"/>
          <w:sz w:val="32"/>
          <w:szCs w:val="32"/>
          <w:lang w:val="en-US" w:eastAsia="zh-CN"/>
        </w:rPr>
        <w:t>移动</w:t>
      </w:r>
      <w:r>
        <w:rPr>
          <w:rFonts w:hint="eastAsia" w:ascii="仿宋_GB2312" w:hAnsi="仿宋" w:eastAsia="仿宋_GB2312" w:cs="仿宋_GB2312"/>
          <w:sz w:val="32"/>
          <w:szCs w:val="32"/>
        </w:rPr>
        <w:t>互联网发展，</w:t>
      </w:r>
      <w:r>
        <w:rPr>
          <w:rFonts w:hint="eastAsia" w:ascii="仿宋_GB2312" w:hAnsi="仿宋" w:eastAsia="仿宋_GB2312" w:cs="仿宋_GB2312"/>
          <w:sz w:val="32"/>
          <w:szCs w:val="32"/>
          <w:lang w:val="en-US" w:eastAsia="zh-CN"/>
        </w:rPr>
        <w:t>会同有关部门推动传统媒体与新兴媒体融合发展，</w:t>
      </w:r>
      <w:r>
        <w:rPr>
          <w:rFonts w:hint="eastAsia" w:ascii="仿宋_GB2312" w:hAnsi="仿宋" w:eastAsia="仿宋_GB2312" w:cs="仿宋_GB2312"/>
          <w:sz w:val="32"/>
          <w:szCs w:val="32"/>
        </w:rPr>
        <w:t>依据管理权限负责网站新闻稿源的管理。</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（七）推动全市网络社会工作和网络文化、网络文明建设，发展、联系、服务互联网相关社会组织，指导互联网行业自律，推进互联网行业党建工作。</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八</w:t>
      </w:r>
      <w:r>
        <w:rPr>
          <w:rFonts w:hint="eastAsia" w:ascii="仿宋_GB2312" w:hAnsi="仿宋" w:eastAsia="仿宋_GB2312" w:cs="仿宋_GB2312"/>
          <w:sz w:val="32"/>
          <w:szCs w:val="32"/>
        </w:rPr>
        <w:t>）</w:t>
      </w:r>
      <w:r>
        <w:rPr>
          <w:rFonts w:hint="eastAsia" w:ascii="仿宋_GB2312" w:hAnsi="仿宋" w:eastAsia="仿宋_GB2312" w:cs="Times New Roman"/>
          <w:sz w:val="32"/>
          <w:szCs w:val="32"/>
        </w:rPr>
        <w:t>依据管理权限负责网络新闻业务和具有新闻舆论及社会动员功能的网络媒体平台的审核及日常监管；</w:t>
      </w:r>
      <w:r>
        <w:rPr>
          <w:rFonts w:hint="eastAsia" w:ascii="仿宋_GB2312" w:hAnsi="仿宋" w:eastAsia="仿宋_GB2312" w:cs="仿宋_GB2312"/>
          <w:sz w:val="32"/>
          <w:szCs w:val="32"/>
        </w:rPr>
        <w:t>协调有关部门督促电信运营企业、接入服务企业、域名注册管理和服务机构等做好域名注册、互联网地址（IP地址）分配、网站登记备案、接入以及网络行为主体身份信息核对等基础管理工作；指导推进新技术新应用安全评估，统筹协调移动互联网管理。</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（九）组织开展全市网信系统干部教育培训和人才队伍建设，依据管理权限规划指导互联网新闻信息服务从业人员教育和考评工作，组织开展网络媒介素养教育。</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（十）指导、检查、推动各县区和有关部门网络安全和信息化工作。</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Times New Roman"/>
          <w:sz w:val="32"/>
          <w:szCs w:val="32"/>
        </w:rPr>
      </w:pPr>
      <w:r>
        <w:rPr>
          <w:rFonts w:hint="eastAsia" w:ascii="仿宋_GB2312" w:hAnsi="仿宋" w:eastAsia="仿宋_GB2312" w:cs="仿宋_GB2312"/>
          <w:sz w:val="32"/>
          <w:szCs w:val="32"/>
        </w:rPr>
        <w:t>（十一）完成市委、市政府</w:t>
      </w:r>
      <w:r>
        <w:rPr>
          <w:rFonts w:hint="eastAsia" w:ascii="仿宋_GB2312" w:hAnsi="仿宋" w:eastAsia="仿宋_GB2312" w:cs="仿宋_GB2312"/>
          <w:sz w:val="32"/>
          <w:szCs w:val="32"/>
          <w:lang w:val="en-US" w:eastAsia="zh-CN"/>
        </w:rPr>
        <w:t>及市委网络安全和信息化委员会</w:t>
      </w:r>
      <w:r>
        <w:rPr>
          <w:rFonts w:hint="eastAsia" w:ascii="仿宋_GB2312" w:hAnsi="仿宋" w:eastAsia="仿宋_GB2312" w:cs="仿宋_GB2312"/>
          <w:sz w:val="32"/>
          <w:szCs w:val="32"/>
        </w:rPr>
        <w:t>交办的其他任务。</w:t>
      </w:r>
    </w:p>
    <w:p>
      <w:pPr>
        <w:keepNext w:val="0"/>
        <w:keepLines w:val="0"/>
        <w:pageBreakBefore w:val="0"/>
        <w:widowControl w:val="0"/>
        <w:wordWrap/>
        <w:topLinePunct w:val="0"/>
        <w:bidi w:val="0"/>
        <w:adjustRightInd w:val="0"/>
        <w:snapToGrid w:val="0"/>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val="en-US" w:eastAsia="zh-CN"/>
        </w:rPr>
        <w:t>中共</w:t>
      </w:r>
      <w:r>
        <w:rPr>
          <w:rFonts w:hint="eastAsia" w:ascii="黑体" w:hAnsi="黑体" w:eastAsia="黑体" w:cs="Times New Roman"/>
          <w:sz w:val="32"/>
          <w:szCs w:val="32"/>
        </w:rPr>
        <w:t>驻马店市</w:t>
      </w:r>
      <w:r>
        <w:rPr>
          <w:rFonts w:hint="eastAsia" w:ascii="黑体" w:hAnsi="黑体" w:eastAsia="黑体" w:cs="Times New Roman"/>
          <w:sz w:val="32"/>
          <w:szCs w:val="32"/>
          <w:lang w:val="en-US" w:eastAsia="zh-CN"/>
        </w:rPr>
        <w:t>委网络安全和信息化委员会</w:t>
      </w:r>
      <w:r>
        <w:rPr>
          <w:rFonts w:hint="eastAsia" w:ascii="黑体" w:hAnsi="黑体" w:eastAsia="黑体" w:cs="Times New Roman"/>
          <w:sz w:val="32"/>
          <w:szCs w:val="32"/>
        </w:rPr>
        <w:t>办公室机构设置及部门预算单位构成</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right="118" w:firstLine="640" w:firstLineChars="200"/>
        <w:jc w:val="left"/>
        <w:textAlignment w:val="auto"/>
        <w:rPr>
          <w:rFonts w:hint="eastAsia" w:ascii="仿宋_GB2312" w:hAnsi="Times New Roman" w:eastAsia="仿宋_GB2312" w:cs="仿宋_GB2312"/>
          <w:spacing w:val="-1"/>
          <w:kern w:val="0"/>
          <w:sz w:val="32"/>
          <w:szCs w:val="32"/>
        </w:rPr>
      </w:pPr>
      <w:r>
        <w:rPr>
          <w:rFonts w:hint="eastAsia" w:ascii="仿宋_GB2312" w:hAnsi="Times New Roman" w:eastAsia="仿宋_GB2312" w:cs="仿宋_GB2312"/>
          <w:kern w:val="0"/>
          <w:sz w:val="32"/>
          <w:szCs w:val="32"/>
          <w:lang w:val="en-US" w:eastAsia="zh-CN"/>
        </w:rPr>
        <w:t>中共</w:t>
      </w:r>
      <w:r>
        <w:rPr>
          <w:rFonts w:hint="eastAsia" w:ascii="仿宋_GB2312" w:hAnsi="Times New Roman" w:eastAsia="仿宋_GB2312" w:cs="仿宋_GB2312"/>
          <w:kern w:val="0"/>
          <w:sz w:val="32"/>
          <w:szCs w:val="32"/>
        </w:rPr>
        <w:t>驻马店市委网络安全和信息化委员会办公室预算</w:t>
      </w:r>
      <w:r>
        <w:rPr>
          <w:rFonts w:hint="eastAsia" w:ascii="仿宋_GB2312" w:hAnsi="Times New Roman" w:eastAsia="仿宋_GB2312" w:cs="仿宋_GB2312"/>
          <w:spacing w:val="2"/>
          <w:kern w:val="0"/>
          <w:sz w:val="32"/>
          <w:szCs w:val="32"/>
        </w:rPr>
        <w:t>包括</w:t>
      </w:r>
      <w:r>
        <w:rPr>
          <w:rFonts w:hint="eastAsia" w:ascii="仿宋_GB2312" w:hAnsi="Times New Roman" w:eastAsia="仿宋_GB2312" w:cs="仿宋_GB2312"/>
          <w:kern w:val="0"/>
          <w:sz w:val="32"/>
          <w:szCs w:val="32"/>
        </w:rPr>
        <w:t>市</w:t>
      </w:r>
      <w:r>
        <w:rPr>
          <w:rFonts w:hint="eastAsia" w:ascii="仿宋_GB2312" w:hAnsi="Times New Roman" w:eastAsia="仿宋_GB2312" w:cs="仿宋_GB2312"/>
          <w:spacing w:val="2"/>
          <w:kern w:val="0"/>
          <w:sz w:val="32"/>
          <w:szCs w:val="32"/>
        </w:rPr>
        <w:t>机关本级</w:t>
      </w:r>
      <w:r>
        <w:rPr>
          <w:rFonts w:hint="eastAsia" w:ascii="仿宋_GB2312" w:hAnsi="Times New Roman" w:eastAsia="仿宋_GB2312" w:cs="仿宋_GB2312"/>
          <w:spacing w:val="-1"/>
          <w:kern w:val="0"/>
          <w:sz w:val="32"/>
          <w:szCs w:val="32"/>
        </w:rPr>
        <w:t>预算</w:t>
      </w:r>
      <w:r>
        <w:rPr>
          <w:rFonts w:hint="eastAsia" w:ascii="仿宋_GB2312" w:hAnsi="Times New Roman" w:eastAsia="仿宋_GB2312" w:cs="仿宋_GB2312"/>
          <w:spacing w:val="2"/>
          <w:kern w:val="0"/>
          <w:sz w:val="32"/>
          <w:szCs w:val="32"/>
        </w:rPr>
        <w:t>和市属</w:t>
      </w:r>
      <w:r>
        <w:rPr>
          <w:rFonts w:hint="eastAsia" w:ascii="仿宋_GB2312" w:hAnsi="Times New Roman" w:eastAsia="仿宋_GB2312" w:cs="仿宋_GB2312"/>
          <w:spacing w:val="2"/>
          <w:kern w:val="0"/>
          <w:sz w:val="32"/>
          <w:szCs w:val="32"/>
          <w:lang w:val="en-US" w:eastAsia="zh-CN"/>
        </w:rPr>
        <w:t>事业</w:t>
      </w:r>
      <w:r>
        <w:rPr>
          <w:rFonts w:hint="eastAsia" w:ascii="仿宋_GB2312" w:hAnsi="Times New Roman" w:eastAsia="仿宋_GB2312" w:cs="仿宋_GB2312"/>
          <w:spacing w:val="-1"/>
          <w:kern w:val="0"/>
          <w:sz w:val="32"/>
          <w:szCs w:val="32"/>
        </w:rPr>
        <w:t>单位预算。</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121" w:right="118" w:firstLine="36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 xml:space="preserve"> 内设四个职能科室，分别为：</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1.综合科；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2.网络信息传播与社评科；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3.网络舆情应急科；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default"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4.网络安全协调科。</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right="118" w:firstLine="636" w:firstLineChars="200"/>
        <w:jc w:val="left"/>
        <w:textAlignment w:val="auto"/>
        <w:rPr>
          <w:rFonts w:hint="default"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下设两个市属财政全供事业单位：</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600" w:lineRule="exact"/>
        <w:ind w:firstLine="1272" w:firstLineChars="400"/>
        <w:jc w:val="left"/>
        <w:textAlignment w:val="auto"/>
        <w:rPr>
          <w:rFonts w:hint="eastAsia" w:ascii="仿宋_GB2312" w:eastAsia="仿宋_GB2312" w:cs="Times New Roman"/>
          <w:sz w:val="32"/>
          <w:szCs w:val="32"/>
        </w:rPr>
      </w:pPr>
      <w:r>
        <w:rPr>
          <w:rFonts w:hint="eastAsia" w:ascii="仿宋_GB2312" w:hAnsi="Times New Roman" w:eastAsia="仿宋_GB2312" w:cs="仿宋_GB2312"/>
          <w:spacing w:val="-1"/>
          <w:kern w:val="0"/>
          <w:sz w:val="32"/>
          <w:szCs w:val="32"/>
        </w:rPr>
        <w:t>驻马店市互联网舆情信息中心</w:t>
      </w:r>
      <w:r>
        <w:rPr>
          <w:rFonts w:hint="eastAsia" w:ascii="仿宋_GB2312" w:eastAsia="仿宋_GB2312" w:cs="Times New Roman"/>
          <w:sz w:val="32"/>
          <w:szCs w:val="32"/>
        </w:rPr>
        <w:t>；</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600" w:lineRule="exact"/>
        <w:ind w:firstLine="1280" w:firstLineChars="4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驻马店市委网信办应急指挥中心。</w:t>
      </w:r>
    </w:p>
    <w:p>
      <w:pPr>
        <w:rPr>
          <w:rFonts w:hint="eastAsia" w:ascii="黑体" w:hAnsi="黑体" w:eastAsia="黑体" w:cs="黑体"/>
          <w:kern w:val="0"/>
          <w:sz w:val="36"/>
          <w:szCs w:val="36"/>
        </w:rPr>
      </w:pPr>
      <w:r>
        <w:rPr>
          <w:rFonts w:hint="eastAsia" w:ascii="黑体" w:hAnsi="黑体" w:eastAsia="黑体" w:cs="黑体"/>
          <w:kern w:val="0"/>
          <w:sz w:val="36"/>
          <w:szCs w:val="36"/>
        </w:rPr>
        <w:br w:type="page"/>
      </w:r>
    </w:p>
    <w:p>
      <w:pPr>
        <w:widowControl/>
        <w:spacing w:line="600" w:lineRule="exact"/>
        <w:jc w:val="center"/>
        <w:rPr>
          <w:rFonts w:ascii="黑体" w:hAnsi="黑体" w:eastAsia="黑体" w:cs="Times New Roman"/>
          <w:kern w:val="0"/>
          <w:sz w:val="36"/>
          <w:szCs w:val="36"/>
        </w:rPr>
      </w:pPr>
      <w:r>
        <w:rPr>
          <w:rFonts w:hint="eastAsia" w:ascii="黑体" w:hAnsi="黑体" w:eastAsia="黑体" w:cs="黑体"/>
          <w:kern w:val="0"/>
          <w:sz w:val="36"/>
          <w:szCs w:val="36"/>
        </w:rPr>
        <w:t>第二部分</w:t>
      </w:r>
      <w:r>
        <w:rPr>
          <w:rFonts w:ascii="黑体" w:hAnsi="黑体" w:eastAsia="黑体" w:cs="黑体"/>
          <w:kern w:val="0"/>
          <w:sz w:val="36"/>
          <w:szCs w:val="36"/>
        </w:rPr>
        <w:t xml:space="preserve"> </w:t>
      </w:r>
    </w:p>
    <w:p>
      <w:pPr>
        <w:keepNext w:val="0"/>
        <w:keepLines w:val="0"/>
        <w:pageBreakBefore w:val="0"/>
        <w:widowControl w:val="0"/>
        <w:wordWrap/>
        <w:topLinePunct w:val="0"/>
        <w:bidi w:val="0"/>
        <w:adjustRightInd w:val="0"/>
        <w:snapToGrid w:val="0"/>
        <w:spacing w:line="600" w:lineRule="exact"/>
        <w:jc w:val="center"/>
        <w:textAlignment w:val="auto"/>
        <w:rPr>
          <w:rFonts w:hint="eastAsia" w:ascii="黑体" w:hAnsi="黑体" w:eastAsia="黑体" w:cs="Times New Roman"/>
          <w:sz w:val="32"/>
          <w:szCs w:val="32"/>
        </w:rPr>
      </w:pPr>
      <w:r>
        <w:rPr>
          <w:rFonts w:ascii="黑体" w:hAnsi="黑体" w:eastAsia="黑体" w:cs="黑体"/>
          <w:kern w:val="0"/>
          <w:sz w:val="36"/>
          <w:szCs w:val="36"/>
        </w:rPr>
        <w:t xml:space="preserve"> </w:t>
      </w:r>
      <w:r>
        <w:rPr>
          <w:rFonts w:hint="eastAsia" w:ascii="黑体" w:hAnsi="黑体" w:eastAsia="黑体" w:cs="Times New Roman"/>
          <w:sz w:val="36"/>
          <w:szCs w:val="36"/>
          <w:lang w:val="en-US" w:eastAsia="zh-CN"/>
        </w:rPr>
        <w:t>中共</w:t>
      </w:r>
      <w:r>
        <w:rPr>
          <w:rFonts w:hint="eastAsia" w:ascii="黑体" w:hAnsi="黑体" w:eastAsia="黑体" w:cs="Times New Roman"/>
          <w:sz w:val="36"/>
          <w:szCs w:val="36"/>
        </w:rPr>
        <w:t>驻马店市委网络安全和信息化委员会办公室</w:t>
      </w:r>
    </w:p>
    <w:p>
      <w:pPr>
        <w:widowControl/>
        <w:spacing w:line="600" w:lineRule="exact"/>
        <w:jc w:val="center"/>
        <w:rPr>
          <w:rFonts w:ascii="黑体" w:hAnsi="黑体" w:eastAsia="黑体" w:cs="Times New Roman"/>
          <w:kern w:val="0"/>
          <w:sz w:val="36"/>
          <w:szCs w:val="36"/>
        </w:rPr>
      </w:pPr>
      <w:r>
        <w:rPr>
          <w:rFonts w:hint="eastAsia" w:ascii="黑体" w:hAnsi="黑体" w:eastAsia="黑体" w:cs="黑体"/>
          <w:kern w:val="0"/>
          <w:sz w:val="36"/>
          <w:szCs w:val="36"/>
          <w:lang w:eastAsia="zh-CN"/>
        </w:rPr>
        <w:t>2023</w:t>
      </w:r>
      <w:r>
        <w:rPr>
          <w:rFonts w:hint="eastAsia" w:ascii="黑体" w:hAnsi="黑体" w:eastAsia="黑体" w:cs="黑体"/>
          <w:kern w:val="0"/>
          <w:sz w:val="36"/>
          <w:szCs w:val="36"/>
        </w:rPr>
        <w:t>年度部门预算情况说明</w:t>
      </w:r>
    </w:p>
    <w:p>
      <w:pPr>
        <w:spacing w:line="600" w:lineRule="exact"/>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color w:val="000000"/>
          <w:sz w:val="32"/>
          <w:szCs w:val="32"/>
          <w:lang w:eastAsia="zh-CN"/>
        </w:rPr>
        <w:t>2023</w:t>
      </w:r>
      <w:r>
        <w:rPr>
          <w:rFonts w:hint="eastAsia" w:ascii="仿宋" w:hAnsi="仿宋" w:eastAsia="仿宋" w:cs="仿宋_GB2312"/>
          <w:color w:val="000000"/>
          <w:sz w:val="32"/>
          <w:szCs w:val="32"/>
        </w:rPr>
        <w:t>年收入总计</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万元，支出总计</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万元，与</w:t>
      </w: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年预算相比，收、支总计各</w:t>
      </w:r>
      <w:r>
        <w:rPr>
          <w:rFonts w:hint="eastAsia" w:ascii="仿宋" w:hAnsi="仿宋" w:eastAsia="仿宋" w:cs="仿宋_GB2312"/>
          <w:color w:val="000000"/>
          <w:sz w:val="32"/>
          <w:szCs w:val="32"/>
          <w:lang w:val="en-US" w:eastAsia="zh-CN"/>
        </w:rPr>
        <w:t>增加45.19</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eastAsia="zh-CN"/>
        </w:rPr>
        <w:t>上升</w:t>
      </w:r>
      <w:r>
        <w:rPr>
          <w:rFonts w:hint="eastAsia" w:ascii="仿宋" w:hAnsi="仿宋" w:eastAsia="仿宋" w:cs="仿宋_GB2312"/>
          <w:color w:val="000000"/>
          <w:sz w:val="32"/>
          <w:szCs w:val="32"/>
          <w:lang w:val="en-US" w:eastAsia="zh-CN"/>
        </w:rPr>
        <w:t>13.1</w:t>
      </w:r>
      <w:r>
        <w:rPr>
          <w:rFonts w:ascii="仿宋" w:hAnsi="仿宋" w:eastAsia="仿宋" w:cs="仿宋_GB2312"/>
          <w:color w:val="000000"/>
          <w:sz w:val="32"/>
          <w:szCs w:val="32"/>
        </w:rPr>
        <w:t>%</w:t>
      </w:r>
      <w:r>
        <w:rPr>
          <w:rFonts w:hint="eastAsia" w:ascii="仿宋" w:hAnsi="仿宋" w:eastAsia="仿宋" w:cs="仿宋_GB2312"/>
          <w:color w:val="000000"/>
          <w:sz w:val="32"/>
          <w:szCs w:val="32"/>
        </w:rPr>
        <w:t>。主要原因</w:t>
      </w:r>
      <w:r>
        <w:rPr>
          <w:rFonts w:hint="eastAsia" w:ascii="仿宋" w:hAnsi="仿宋" w:eastAsia="仿宋" w:cs="仿宋_GB2312"/>
          <w:b/>
          <w:bCs/>
          <w:color w:val="000000"/>
          <w:sz w:val="32"/>
          <w:szCs w:val="32"/>
        </w:rPr>
        <w:t>是</w:t>
      </w:r>
      <w:r>
        <w:rPr>
          <w:rFonts w:hint="eastAsia" w:ascii="仿宋" w:hAnsi="仿宋" w:eastAsia="仿宋" w:cs="仿宋_GB2312"/>
          <w:b/>
          <w:bCs/>
          <w:color w:val="000000"/>
          <w:sz w:val="32"/>
          <w:szCs w:val="32"/>
          <w:lang w:val="en-US" w:eastAsia="zh-CN"/>
        </w:rPr>
        <w:t>人员经费及增加临时性项目</w:t>
      </w:r>
      <w:r>
        <w:rPr>
          <w:rFonts w:hint="eastAsia" w:ascii="仿宋" w:hAnsi="仿宋" w:eastAsia="仿宋" w:cs="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eastAsia="仿宋"/>
          <w:sz w:val="32"/>
          <w:szCs w:val="32"/>
        </w:rPr>
        <w:t> </w:t>
      </w:r>
      <w:r>
        <w:rPr>
          <w:rFonts w:hint="eastAsia" w:ascii="仿宋" w:hAnsi="仿宋" w:eastAsia="仿宋"/>
          <w:sz w:val="32"/>
          <w:szCs w:val="32"/>
          <w:lang w:eastAsia="zh-CN"/>
        </w:rPr>
        <w:t>2023</w:t>
      </w:r>
      <w:r>
        <w:rPr>
          <w:rFonts w:hint="eastAsia" w:ascii="仿宋" w:hAnsi="仿宋" w:eastAsia="仿宋"/>
          <w:sz w:val="32"/>
          <w:szCs w:val="32"/>
        </w:rPr>
        <w:t>年收入合计</w:t>
      </w:r>
      <w:r>
        <w:rPr>
          <w:rFonts w:hint="eastAsia" w:ascii="仿宋" w:hAnsi="仿宋" w:eastAsia="仿宋"/>
          <w:sz w:val="32"/>
          <w:szCs w:val="32"/>
          <w:lang w:val="en-US" w:eastAsia="zh-CN"/>
        </w:rPr>
        <w:t>390.19</w:t>
      </w:r>
      <w:r>
        <w:rPr>
          <w:rFonts w:hint="eastAsia" w:ascii="仿宋" w:hAnsi="仿宋" w:eastAsia="仿宋"/>
          <w:sz w:val="32"/>
          <w:szCs w:val="32"/>
        </w:rPr>
        <w:t>万元。其中：一般公共预算收入</w:t>
      </w:r>
      <w:r>
        <w:rPr>
          <w:rFonts w:hint="eastAsia" w:ascii="仿宋" w:hAnsi="仿宋" w:eastAsia="仿宋"/>
          <w:sz w:val="32"/>
          <w:szCs w:val="32"/>
          <w:lang w:val="en-US" w:eastAsia="zh-CN"/>
        </w:rPr>
        <w:t>390.19</w:t>
      </w:r>
      <w:r>
        <w:rPr>
          <w:rFonts w:hint="eastAsia" w:ascii="仿宋" w:hAnsi="仿宋" w:eastAsia="仿宋"/>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sz w:val="32"/>
          <w:szCs w:val="32"/>
          <w:lang w:eastAsia="zh-CN"/>
        </w:rPr>
        <w:t>2023</w:t>
      </w:r>
      <w:r>
        <w:rPr>
          <w:rFonts w:hint="eastAsia" w:ascii="仿宋" w:hAnsi="仿宋" w:eastAsia="仿宋"/>
          <w:sz w:val="32"/>
          <w:szCs w:val="32"/>
        </w:rPr>
        <w:t>年支出合计</w:t>
      </w:r>
      <w:r>
        <w:rPr>
          <w:rFonts w:hint="eastAsia" w:ascii="仿宋" w:hAnsi="仿宋" w:eastAsia="仿宋"/>
          <w:sz w:val="32"/>
          <w:szCs w:val="32"/>
          <w:lang w:val="en-US" w:eastAsia="zh-CN"/>
        </w:rPr>
        <w:t>390.19</w:t>
      </w:r>
      <w:r>
        <w:rPr>
          <w:rFonts w:hint="eastAsia" w:ascii="仿宋" w:hAnsi="仿宋" w:eastAsia="仿宋"/>
          <w:sz w:val="32"/>
          <w:szCs w:val="32"/>
        </w:rPr>
        <w:t>万元，其中：基本支出</w:t>
      </w:r>
      <w:r>
        <w:rPr>
          <w:rFonts w:hint="eastAsia" w:ascii="仿宋" w:hAnsi="仿宋" w:eastAsia="仿宋"/>
          <w:sz w:val="32"/>
          <w:szCs w:val="32"/>
          <w:lang w:val="en-US" w:eastAsia="zh-CN"/>
        </w:rPr>
        <w:t>341.25</w:t>
      </w:r>
      <w:r>
        <w:rPr>
          <w:rFonts w:hint="eastAsia" w:ascii="仿宋" w:hAnsi="仿宋" w:eastAsia="仿宋"/>
          <w:sz w:val="32"/>
          <w:szCs w:val="32"/>
        </w:rPr>
        <w:t>万元，占</w:t>
      </w:r>
      <w:r>
        <w:rPr>
          <w:rFonts w:hint="eastAsia" w:ascii="仿宋" w:hAnsi="仿宋" w:eastAsia="仿宋"/>
          <w:sz w:val="32"/>
          <w:szCs w:val="32"/>
          <w:lang w:val="en-US" w:eastAsia="zh-CN"/>
        </w:rPr>
        <w:t>87.46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48.94</w:t>
      </w:r>
      <w:r>
        <w:rPr>
          <w:rFonts w:hint="eastAsia" w:ascii="仿宋" w:hAnsi="仿宋" w:eastAsia="仿宋"/>
          <w:sz w:val="32"/>
          <w:szCs w:val="32"/>
        </w:rPr>
        <w:t>万元，占</w:t>
      </w:r>
      <w:r>
        <w:rPr>
          <w:rFonts w:hint="eastAsia" w:ascii="仿宋" w:hAnsi="仿宋" w:eastAsia="仿宋"/>
          <w:sz w:val="32"/>
          <w:szCs w:val="32"/>
          <w:lang w:val="en-US" w:eastAsia="zh-CN"/>
        </w:rPr>
        <w:t>12.54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四、财政拨款收入支出预算总体情况说明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sz w:val="32"/>
          <w:szCs w:val="32"/>
          <w:lang w:eastAsia="zh-CN"/>
        </w:rPr>
        <w:t>2023</w:t>
      </w:r>
      <w:r>
        <w:rPr>
          <w:rFonts w:hint="eastAsia" w:ascii="仿宋" w:hAnsi="仿宋" w:eastAsia="仿宋" w:cs="仿宋_GB2312"/>
          <w:color w:val="000000"/>
          <w:sz w:val="32"/>
          <w:szCs w:val="32"/>
        </w:rPr>
        <w:t>年一般公共预算收支预算</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w:t>
      </w:r>
      <w:r>
        <w:rPr>
          <w:rFonts w:hint="eastAsia" w:ascii="仿宋" w:hAnsi="仿宋" w:eastAsia="仿宋"/>
          <w:sz w:val="32"/>
          <w:szCs w:val="32"/>
        </w:rPr>
        <w:t>与</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年相比，一般公共预算收支预算</w:t>
      </w:r>
      <w:r>
        <w:rPr>
          <w:rFonts w:hint="eastAsia" w:ascii="仿宋" w:hAnsi="仿宋" w:eastAsia="仿宋"/>
          <w:sz w:val="32"/>
          <w:szCs w:val="32"/>
          <w:lang w:val="en-US" w:eastAsia="zh-CN"/>
        </w:rPr>
        <w:t>增加</w:t>
      </w:r>
      <w:r>
        <w:rPr>
          <w:rFonts w:hint="eastAsia" w:ascii="仿宋" w:hAnsi="仿宋" w:eastAsia="仿宋" w:cs="仿宋_GB2312"/>
          <w:color w:val="000000"/>
          <w:sz w:val="32"/>
          <w:szCs w:val="32"/>
          <w:lang w:val="en-US" w:eastAsia="zh-CN"/>
        </w:rPr>
        <w:t>45.19</w:t>
      </w:r>
      <w:r>
        <w:rPr>
          <w:rFonts w:hint="eastAsia" w:ascii="仿宋" w:hAnsi="仿宋" w:eastAsia="仿宋"/>
          <w:sz w:val="32"/>
          <w:szCs w:val="32"/>
        </w:rPr>
        <w:t>万元，</w:t>
      </w:r>
      <w:r>
        <w:rPr>
          <w:rFonts w:hint="eastAsia" w:ascii="仿宋" w:hAnsi="仿宋" w:eastAsia="仿宋"/>
          <w:sz w:val="32"/>
          <w:szCs w:val="32"/>
          <w:lang w:val="en-US" w:eastAsia="zh-CN"/>
        </w:rPr>
        <w:t>上升</w:t>
      </w:r>
      <w:r>
        <w:rPr>
          <w:rFonts w:hint="eastAsia" w:ascii="仿宋" w:hAnsi="仿宋" w:eastAsia="仿宋" w:cs="仿宋_GB2312"/>
          <w:color w:val="000000"/>
          <w:sz w:val="32"/>
          <w:szCs w:val="32"/>
          <w:lang w:val="en-US" w:eastAsia="zh-CN"/>
        </w:rPr>
        <w:t>13.1</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cs="仿宋_GB2312"/>
          <w:b/>
          <w:bCs/>
          <w:color w:val="000000"/>
          <w:sz w:val="32"/>
          <w:szCs w:val="32"/>
          <w:lang w:val="en-US" w:eastAsia="zh-CN"/>
        </w:rPr>
        <w:t>人员经费及增加临时性项目</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五、一般公共预算支出预算情况说明</w:t>
      </w:r>
    </w:p>
    <w:p>
      <w:pPr>
        <w:spacing w:line="600" w:lineRule="exact"/>
        <w:ind w:firstLine="640" w:firstLineChars="200"/>
        <w:jc w:val="left"/>
        <w:rPr>
          <w:rFonts w:ascii="仿宋" w:hAnsi="仿宋" w:eastAsia="仿宋" w:cs="Times New Roman"/>
          <w:color w:val="000000"/>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color w:val="333333"/>
          <w:sz w:val="32"/>
          <w:szCs w:val="32"/>
          <w:lang w:eastAsia="zh-CN"/>
        </w:rPr>
        <w:t>2023</w:t>
      </w:r>
      <w:r>
        <w:rPr>
          <w:rFonts w:hint="eastAsia" w:ascii="仿宋" w:hAnsi="仿宋" w:eastAsia="仿宋" w:cs="仿宋_GB2312"/>
          <w:color w:val="333333"/>
          <w:sz w:val="32"/>
          <w:szCs w:val="32"/>
        </w:rPr>
        <w:t>年一般公共预算支出年初预算为</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万元。主要用于以下方面：一般公共服务（类）支出</w:t>
      </w:r>
      <w:r>
        <w:rPr>
          <w:rFonts w:hint="eastAsia" w:ascii="仿宋" w:hAnsi="仿宋" w:eastAsia="仿宋" w:cs="仿宋_GB2312"/>
          <w:color w:val="000000"/>
          <w:sz w:val="32"/>
          <w:szCs w:val="32"/>
          <w:lang w:val="en-US" w:eastAsia="zh-CN"/>
        </w:rPr>
        <w:t>314.70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80.65</w:t>
      </w:r>
      <w:r>
        <w:rPr>
          <w:rFonts w:ascii="仿宋" w:hAnsi="仿宋" w:eastAsia="仿宋" w:cs="仿宋_GB2312"/>
          <w:color w:val="000000"/>
          <w:sz w:val="32"/>
          <w:szCs w:val="32"/>
        </w:rPr>
        <w:t>%</w:t>
      </w:r>
      <w:r>
        <w:rPr>
          <w:rFonts w:hint="eastAsia" w:ascii="仿宋" w:hAnsi="仿宋" w:eastAsia="仿宋" w:cs="仿宋_GB2312"/>
          <w:color w:val="000000"/>
          <w:sz w:val="32"/>
          <w:szCs w:val="32"/>
        </w:rPr>
        <w:t>；社会保障和就业支出</w:t>
      </w:r>
      <w:r>
        <w:rPr>
          <w:rFonts w:hint="eastAsia" w:ascii="仿宋" w:hAnsi="仿宋" w:eastAsia="仿宋" w:cs="仿宋_GB2312"/>
          <w:color w:val="000000"/>
          <w:sz w:val="32"/>
          <w:szCs w:val="32"/>
          <w:lang w:val="en-US" w:eastAsia="zh-CN"/>
        </w:rPr>
        <w:t>30.83</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7.90</w:t>
      </w:r>
      <w:r>
        <w:rPr>
          <w:rFonts w:ascii="仿宋" w:hAnsi="仿宋" w:eastAsia="仿宋" w:cs="仿宋_GB2312"/>
          <w:color w:val="000000"/>
          <w:sz w:val="32"/>
          <w:szCs w:val="32"/>
        </w:rPr>
        <w:t>%</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19.5</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5.0</w:t>
      </w:r>
      <w:r>
        <w:rPr>
          <w:rFonts w:ascii="仿宋" w:hAnsi="仿宋" w:eastAsia="仿宋" w:cs="仿宋_GB2312"/>
          <w:color w:val="000000"/>
          <w:sz w:val="32"/>
          <w:szCs w:val="32"/>
        </w:rPr>
        <w:t>%</w:t>
      </w:r>
      <w:r>
        <w:rPr>
          <w:rFonts w:hint="eastAsia" w:ascii="仿宋" w:hAnsi="仿宋" w:eastAsia="仿宋" w:cs="仿宋_GB2312"/>
          <w:color w:val="000000"/>
          <w:sz w:val="32"/>
          <w:szCs w:val="32"/>
        </w:rPr>
        <w:t>；住房保障支出</w:t>
      </w:r>
      <w:r>
        <w:rPr>
          <w:rFonts w:hint="eastAsia" w:ascii="仿宋" w:hAnsi="仿宋" w:eastAsia="仿宋" w:cs="仿宋_GB2312"/>
          <w:color w:val="000000"/>
          <w:sz w:val="32"/>
          <w:szCs w:val="32"/>
          <w:lang w:val="en-US" w:eastAsia="zh-CN"/>
        </w:rPr>
        <w:t>25.16</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6.45</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六、一般公共预算基本支出预算情况说明和支出预算经济分类情况说明</w:t>
      </w:r>
    </w:p>
    <w:p>
      <w:pPr>
        <w:spacing w:line="600" w:lineRule="exact"/>
        <w:ind w:firstLine="640" w:firstLineChars="200"/>
        <w:rPr>
          <w:rFonts w:ascii="黑体" w:hAnsi="黑体" w:eastAsia="黑体"/>
          <w:sz w:val="32"/>
          <w:szCs w:val="32"/>
        </w:rPr>
      </w:pPr>
      <w:r>
        <w:rPr>
          <w:rFonts w:hint="eastAsia" w:eastAsia="仿宋"/>
          <w:sz w:val="32"/>
          <w:szCs w:val="32"/>
        </w:rPr>
        <w:t> </w:t>
      </w:r>
      <w:r>
        <w:rPr>
          <w:rFonts w:hint="eastAsia" w:ascii="仿宋" w:hAnsi="仿宋" w:eastAsia="仿宋"/>
          <w:sz w:val="32"/>
          <w:szCs w:val="32"/>
          <w:lang w:eastAsia="zh-CN"/>
        </w:rPr>
        <w:t>2023</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341.25</w:t>
      </w:r>
      <w:r>
        <w:rPr>
          <w:rFonts w:hint="eastAsia" w:ascii="仿宋" w:hAnsi="仿宋" w:eastAsia="仿宋"/>
          <w:sz w:val="32"/>
          <w:szCs w:val="32"/>
        </w:rPr>
        <w:t>万元，其中：人员经费</w:t>
      </w:r>
      <w:r>
        <w:rPr>
          <w:rFonts w:hint="eastAsia" w:ascii="仿宋" w:hAnsi="仿宋" w:eastAsia="仿宋"/>
          <w:sz w:val="32"/>
          <w:szCs w:val="32"/>
          <w:lang w:val="en-US" w:eastAsia="zh-CN"/>
        </w:rPr>
        <w:t>306</w:t>
      </w:r>
      <w:r>
        <w:rPr>
          <w:rFonts w:hint="eastAsia" w:ascii="仿宋" w:hAnsi="仿宋" w:eastAsia="仿宋"/>
          <w:sz w:val="32"/>
          <w:szCs w:val="32"/>
        </w:rPr>
        <w:t>万元，主要包括：基本工资、津贴补贴、奖金、其他社会保障缴费、绩效工资、机关事业单位基本养老保险缴费、职业年金缴费、医疗费、奖励金、住房公积金、采暖补贴、物业服务补贴；公用经费</w:t>
      </w:r>
      <w:r>
        <w:rPr>
          <w:rFonts w:hint="eastAsia" w:ascii="仿宋" w:hAnsi="仿宋" w:eastAsia="仿宋"/>
          <w:sz w:val="32"/>
          <w:szCs w:val="32"/>
          <w:lang w:val="en-US" w:eastAsia="zh-CN"/>
        </w:rPr>
        <w:t>35.25</w:t>
      </w:r>
      <w:r>
        <w:rPr>
          <w:rFonts w:hint="eastAsia" w:ascii="仿宋" w:hAnsi="仿宋" w:eastAsia="仿宋"/>
          <w:sz w:val="32"/>
          <w:szCs w:val="32"/>
        </w:rPr>
        <w:t>万元，主要包括：办公费、印刷费、邮电费、差旅费、工会经费、福利费、其他交通费用、其他商品和服务支出、办公设备购置。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部门《支出经济分类汇总表》由上年仅反映一般公共预算基本支出经济分类科目预算，调整为按两套经济分类科目分别反映不同资金来源的全部预算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七、政府性基金预算支出</w:t>
      </w:r>
      <w:r>
        <w:rPr>
          <w:rFonts w:hint="eastAsia" w:ascii="黑体" w:hAnsi="黑体" w:eastAsia="黑体"/>
          <w:sz w:val="32"/>
          <w:szCs w:val="32"/>
          <w:lang w:eastAsia="zh-CN"/>
        </w:rPr>
        <w:t>预</w:t>
      </w:r>
      <w:r>
        <w:rPr>
          <w:rFonts w:hint="eastAsia" w:ascii="黑体" w:hAnsi="黑体" w:eastAsia="黑体"/>
          <w:sz w:val="32"/>
          <w:szCs w:val="32"/>
        </w:rPr>
        <w:t>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年无使用政府性基金预算拨款安排的支出。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八、“三公”经费支出预算情况说明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年“三公”经费预算为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无</w:t>
      </w:r>
      <w:r>
        <w:rPr>
          <w:rFonts w:hint="eastAsia" w:ascii="仿宋" w:hAnsi="仿宋" w:eastAsia="仿宋"/>
          <w:sz w:val="32"/>
          <w:szCs w:val="32"/>
        </w:rPr>
        <w:t xml:space="preserve">“三公”经费支出预算数。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具体支出情况如下：</w:t>
      </w:r>
    </w:p>
    <w:p>
      <w:pPr>
        <w:keepNext w:val="0"/>
        <w:keepLines w:val="0"/>
        <w:pageBreakBefore w:val="0"/>
        <w:widowControl w:val="0"/>
        <w:wordWrap/>
        <w:topLinePunct w:val="0"/>
        <w:bidi w:val="0"/>
        <w:spacing w:line="600" w:lineRule="exact"/>
        <w:ind w:firstLine="643" w:firstLineChars="200"/>
        <w:textAlignment w:val="auto"/>
        <w:rPr>
          <w:rFonts w:ascii="仿宋" w:hAnsi="仿宋" w:eastAsia="仿宋"/>
          <w:sz w:val="32"/>
          <w:szCs w:val="32"/>
        </w:rPr>
      </w:pPr>
      <w:r>
        <w:rPr>
          <w:rFonts w:hint="eastAsia" w:ascii="仿宋" w:hAnsi="仿宋" w:eastAsia="仿宋"/>
          <w:b/>
          <w:sz w:val="32"/>
          <w:szCs w:val="32"/>
        </w:rPr>
        <w:t>（一）因公出国</w:t>
      </w:r>
      <w:r>
        <w:rPr>
          <w:rFonts w:ascii="仿宋" w:hAnsi="仿宋" w:eastAsia="仿宋"/>
          <w:b/>
          <w:sz w:val="32"/>
          <w:szCs w:val="32"/>
        </w:rPr>
        <w:t>(</w:t>
      </w:r>
      <w:r>
        <w:rPr>
          <w:rFonts w:hint="eastAsia" w:ascii="仿宋" w:hAnsi="仿宋" w:eastAsia="仿宋"/>
          <w:b/>
          <w:sz w:val="32"/>
          <w:szCs w:val="32"/>
        </w:rPr>
        <w:t>境</w:t>
      </w:r>
      <w:r>
        <w:rPr>
          <w:rFonts w:ascii="仿宋" w:hAnsi="仿宋" w:eastAsia="仿宋"/>
          <w:b/>
          <w:sz w:val="32"/>
          <w:szCs w:val="32"/>
        </w:rPr>
        <w:t>)</w:t>
      </w:r>
      <w:r>
        <w:rPr>
          <w:rFonts w:hint="eastAsia" w:ascii="仿宋" w:hAnsi="仿宋" w:eastAsia="仿宋"/>
          <w:b/>
          <w:sz w:val="32"/>
          <w:szCs w:val="32"/>
        </w:rPr>
        <w:t>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主要用于单位工作人员公务出国（境）的住宿费、旅费、伙食补助费、杂费、培训费等支出。我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年没有安排因公出国（境）费用的收入和支出预算。预算数与</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年持平。主要原因是</w:t>
      </w:r>
      <w:r>
        <w:rPr>
          <w:rFonts w:hint="eastAsia" w:ascii="仿宋_GB2312" w:eastAsia="仿宋_GB2312" w:cs="Times New Roman"/>
          <w:sz w:val="32"/>
          <w:szCs w:val="32"/>
        </w:rPr>
        <w:t>我办</w:t>
      </w:r>
      <w:r>
        <w:rPr>
          <w:rFonts w:hint="eastAsia" w:ascii="仿宋_GB2312" w:eastAsia="仿宋_GB2312" w:cs="Times New Roman"/>
          <w:sz w:val="32"/>
          <w:szCs w:val="32"/>
          <w:lang w:val="en-US" w:eastAsia="zh-CN"/>
        </w:rPr>
        <w:t>2022年没有此项预算</w:t>
      </w:r>
      <w:r>
        <w:rPr>
          <w:rFonts w:hint="eastAsia" w:ascii="仿宋_GB2312" w:eastAsia="仿宋_GB2312" w:cs="Times New Roman"/>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（二）公务用车购置及运行费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w:t>
      </w:r>
    </w:p>
    <w:p>
      <w:pPr>
        <w:spacing w:line="600" w:lineRule="exact"/>
        <w:ind w:firstLine="643" w:firstLineChars="200"/>
        <w:rPr>
          <w:rFonts w:ascii="仿宋" w:hAnsi="仿宋" w:eastAsia="仿宋" w:cs="Times New Roman"/>
          <w:sz w:val="32"/>
          <w:szCs w:val="32"/>
        </w:rPr>
      </w:pPr>
      <w:r>
        <w:rPr>
          <w:rFonts w:hint="eastAsia" w:ascii="仿宋" w:hAnsi="仿宋" w:eastAsia="仿宋"/>
          <w:b/>
          <w:sz w:val="32"/>
          <w:szCs w:val="32"/>
        </w:rPr>
        <w:t>（三）公务接待费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主要用于按规定开支的各类公务接待支出。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sz w:val="32"/>
          <w:szCs w:val="32"/>
          <w:lang w:eastAsia="zh-CN"/>
        </w:rPr>
        <w:t>2023</w:t>
      </w:r>
      <w:r>
        <w:rPr>
          <w:rFonts w:hint="eastAsia" w:ascii="仿宋" w:hAnsi="仿宋" w:eastAsia="仿宋"/>
          <w:sz w:val="32"/>
          <w:szCs w:val="32"/>
        </w:rPr>
        <w:t>年机关运行经费支出预算为</w:t>
      </w:r>
      <w:r>
        <w:rPr>
          <w:rFonts w:hint="eastAsia" w:ascii="仿宋" w:hAnsi="仿宋" w:eastAsia="仿宋"/>
          <w:sz w:val="32"/>
          <w:szCs w:val="32"/>
          <w:lang w:val="en-US" w:eastAsia="zh-CN"/>
        </w:rPr>
        <w:t>35.25</w:t>
      </w:r>
      <w:r>
        <w:rPr>
          <w:rFonts w:hint="eastAsia" w:ascii="仿宋" w:hAnsi="仿宋" w:eastAsia="仿宋"/>
          <w:sz w:val="32"/>
          <w:szCs w:val="32"/>
        </w:rPr>
        <w:t>万元，主要保障机构正常运转及政策履职需要。</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年政府采购预算安排</w:t>
      </w:r>
      <w:r>
        <w:rPr>
          <w:rFonts w:hint="eastAsia" w:ascii="仿宋" w:hAnsi="仿宋" w:eastAsia="仿宋"/>
          <w:sz w:val="32"/>
          <w:szCs w:val="32"/>
          <w:lang w:val="en-US" w:eastAsia="zh-CN"/>
        </w:rPr>
        <w:t>19</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0</w:t>
      </w:r>
      <w:r>
        <w:rPr>
          <w:rFonts w:hint="eastAsia" w:ascii="仿宋" w:hAnsi="仿宋" w:eastAsia="仿宋"/>
          <w:sz w:val="32"/>
          <w:szCs w:val="32"/>
        </w:rPr>
        <w:t>万元，政府采购服务预算</w:t>
      </w:r>
      <w:r>
        <w:rPr>
          <w:rFonts w:hint="eastAsia" w:ascii="仿宋" w:hAnsi="仿宋" w:eastAsia="仿宋"/>
          <w:sz w:val="32"/>
          <w:szCs w:val="32"/>
          <w:lang w:val="en-US" w:eastAsia="zh-CN"/>
        </w:rPr>
        <w:t>19</w:t>
      </w:r>
      <w:r>
        <w:rPr>
          <w:rFonts w:hint="eastAsia" w:ascii="仿宋" w:hAnsi="仿宋" w:eastAsia="仿宋"/>
          <w:sz w:val="32"/>
          <w:szCs w:val="32"/>
        </w:rPr>
        <w:t>万元。</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（三）绩效目标设置情况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年预算项目均按要求编制了绩效目标，从项目产出、项目效益、满意度等方面设置了绩效指标，综合反映项目预期完成的数量、实效、质量、预期达到的社会经济效益、可持续影响以及服务对象满意度等情况。</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（四）国有资产占用情况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年期末，我</w:t>
      </w:r>
      <w:r>
        <w:rPr>
          <w:rFonts w:hint="eastAsia" w:ascii="仿宋" w:hAnsi="仿宋" w:eastAsia="仿宋"/>
          <w:sz w:val="32"/>
          <w:szCs w:val="32"/>
          <w:lang w:val="en-US" w:eastAsia="zh-CN"/>
        </w:rPr>
        <w:t>办</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辆，其中：一般公务用车</w:t>
      </w:r>
      <w:r>
        <w:rPr>
          <w:rFonts w:hint="eastAsia" w:ascii="仿宋" w:hAnsi="仿宋" w:eastAsia="仿宋"/>
          <w:sz w:val="32"/>
          <w:szCs w:val="32"/>
          <w:lang w:val="en-US" w:eastAsia="zh-CN"/>
        </w:rPr>
        <w:t>0</w:t>
      </w:r>
      <w:r>
        <w:rPr>
          <w:rFonts w:hint="eastAsia" w:ascii="仿宋" w:hAnsi="仿宋" w:eastAsia="仿宋"/>
          <w:sz w:val="32"/>
          <w:szCs w:val="32"/>
        </w:rPr>
        <w:t>辆、一般执法执勤用车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辆，其他用车主要是机要通信用车</w:t>
      </w:r>
      <w:r>
        <w:rPr>
          <w:rFonts w:hint="eastAsia" w:ascii="仿宋" w:hAnsi="仿宋" w:eastAsia="仿宋"/>
          <w:sz w:val="32"/>
          <w:szCs w:val="32"/>
          <w:lang w:val="en-US" w:eastAsia="zh-CN"/>
        </w:rPr>
        <w:t>0</w:t>
      </w:r>
      <w:r>
        <w:rPr>
          <w:rFonts w:hint="eastAsia" w:ascii="仿宋" w:hAnsi="仿宋" w:eastAsia="仿宋"/>
          <w:sz w:val="32"/>
          <w:szCs w:val="32"/>
        </w:rPr>
        <w:t>辆、应急车辆</w:t>
      </w:r>
      <w:r>
        <w:rPr>
          <w:rFonts w:hint="eastAsia" w:ascii="仿宋" w:hAnsi="仿宋" w:eastAsia="仿宋"/>
          <w:sz w:val="32"/>
          <w:szCs w:val="32"/>
          <w:lang w:val="en-US" w:eastAsia="zh-CN"/>
        </w:rPr>
        <w:t>0</w:t>
      </w:r>
      <w:r>
        <w:rPr>
          <w:rFonts w:hint="eastAsia" w:ascii="仿宋" w:hAnsi="仿宋" w:eastAsia="仿宋"/>
          <w:sz w:val="32"/>
          <w:szCs w:val="32"/>
        </w:rPr>
        <w:t>辆、老干部用车</w:t>
      </w:r>
      <w:r>
        <w:rPr>
          <w:rFonts w:hint="eastAsia" w:ascii="仿宋" w:hAnsi="仿宋" w:eastAsia="仿宋"/>
          <w:sz w:val="32"/>
          <w:szCs w:val="32"/>
          <w:lang w:val="en-US" w:eastAsia="zh-CN"/>
        </w:rPr>
        <w:t>0</w:t>
      </w:r>
      <w:r>
        <w:rPr>
          <w:rFonts w:hint="eastAsia" w:ascii="仿宋" w:hAnsi="仿宋" w:eastAsia="仿宋"/>
          <w:sz w:val="32"/>
          <w:szCs w:val="32"/>
        </w:rPr>
        <w:t>辆；单价</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0</w:t>
      </w:r>
      <w:r>
        <w:rPr>
          <w:rFonts w:hint="eastAsia" w:ascii="仿宋" w:hAnsi="仿宋" w:eastAsia="仿宋"/>
          <w:sz w:val="32"/>
          <w:szCs w:val="32"/>
        </w:rPr>
        <w:t>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套。</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（五）专项转移支付项目情况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无</w:t>
      </w:r>
      <w:r>
        <w:rPr>
          <w:rFonts w:hint="eastAsia" w:ascii="仿宋" w:hAnsi="仿宋" w:eastAsia="仿宋"/>
          <w:sz w:val="32"/>
          <w:szCs w:val="32"/>
        </w:rPr>
        <w:t>负责参与管理的专项转移支付项目。</w:t>
      </w:r>
    </w:p>
    <w:p>
      <w:pPr>
        <w:rPr>
          <w:rFonts w:ascii="仿宋" w:hAnsi="仿宋" w:eastAsia="仿宋"/>
          <w:sz w:val="32"/>
          <w:szCs w:val="32"/>
        </w:rPr>
      </w:pPr>
      <w:r>
        <w:rPr>
          <w:rFonts w:ascii="仿宋" w:hAnsi="仿宋" w:eastAsia="仿宋"/>
          <w:sz w:val="32"/>
          <w:szCs w:val="32"/>
        </w:rPr>
        <w:br w:type="page"/>
      </w:r>
    </w:p>
    <w:p>
      <w:pPr>
        <w:spacing w:line="600" w:lineRule="exact"/>
        <w:jc w:val="center"/>
        <w:rPr>
          <w:rFonts w:ascii="黑体" w:hAnsi="黑体" w:eastAsia="黑体"/>
          <w:sz w:val="36"/>
          <w:szCs w:val="36"/>
        </w:rPr>
      </w:pPr>
      <w:r>
        <w:rPr>
          <w:rFonts w:hint="eastAsia" w:ascii="黑体" w:hAnsi="黑体" w:eastAsia="黑体"/>
          <w:sz w:val="36"/>
          <w:szCs w:val="36"/>
        </w:rPr>
        <w:t>第三部分</w:t>
      </w:r>
    </w:p>
    <w:p>
      <w:pPr>
        <w:spacing w:line="600" w:lineRule="exact"/>
        <w:jc w:val="center"/>
        <w:rPr>
          <w:rFonts w:ascii="黑体" w:hAnsi="黑体" w:eastAsia="黑体"/>
          <w:sz w:val="36"/>
          <w:szCs w:val="36"/>
        </w:rPr>
      </w:pPr>
      <w:r>
        <w:rPr>
          <w:rFonts w:hint="eastAsia" w:ascii="黑体" w:hAnsi="黑体" w:eastAsia="黑体"/>
          <w:sz w:val="36"/>
          <w:szCs w:val="36"/>
        </w:rPr>
        <w:t>名词解释</w:t>
      </w:r>
    </w:p>
    <w:p>
      <w:pPr>
        <w:spacing w:line="600" w:lineRule="exact"/>
        <w:jc w:val="center"/>
        <w:rPr>
          <w:rFonts w:ascii="黑体" w:hAnsi="黑体" w:eastAsia="黑体"/>
          <w:sz w:val="36"/>
          <w:szCs w:val="36"/>
        </w:rPr>
      </w:pP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一、财政拨款收入：是指市级财政当年拨付的资金。</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二、事业收入:是指事业单位开展专业活动及辅助活动所取得的收入。</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三、其他收入：是指部门取得的除“财政拨款”、“事业收入”、“事业单位经营收入”等以外的收入。</w:t>
      </w:r>
      <w:r>
        <w:rPr>
          <w:rFonts w:ascii="仿宋" w:hAnsi="仿宋" w:eastAsia="仿宋" w:cs="仿宋_GB2312"/>
          <w:sz w:val="32"/>
          <w:szCs w:val="32"/>
        </w:rPr>
        <w:t xml:space="preserve"> </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七、“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rPr>
          <w:rFonts w:ascii="仿宋" w:hAnsi="仿宋" w:eastAsia="仿宋" w:cs="Times New Roman"/>
          <w:sz w:val="32"/>
          <w:szCs w:val="32"/>
        </w:rPr>
      </w:pPr>
      <w:r>
        <w:rPr>
          <w:rFonts w:ascii="仿宋" w:hAnsi="仿宋" w:eastAsia="仿宋" w:cs="Times New Roman"/>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黑体" w:hAnsi="黑体" w:eastAsia="黑体" w:cs="Times New Roman"/>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中共驻马店市委网络安全和信息化委员会办公室</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tbl>
      <w:tblPr>
        <w:tblStyle w:val="6"/>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5"/>
        <w:gridCol w:w="1545"/>
        <w:gridCol w:w="307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40"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2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2023年部门收支预算表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16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r>
    </w:tbl>
    <w:p>
      <w:pPr>
        <w:adjustRightInd w:val="0"/>
        <w:snapToGrid w:val="0"/>
        <w:spacing w:line="600" w:lineRule="exact"/>
        <w:jc w:val="both"/>
        <w:rPr>
          <w:rFonts w:hint="eastAsia" w:ascii="黑体" w:hAnsi="黑体" w:eastAsia="黑体" w:cs="黑体"/>
          <w:sz w:val="32"/>
          <w:szCs w:val="32"/>
        </w:rPr>
        <w:sectPr>
          <w:pgSz w:w="11906" w:h="16838"/>
          <w:pgMar w:top="1440" w:right="1474" w:bottom="1440" w:left="1588" w:header="851" w:footer="992" w:gutter="0"/>
          <w:cols w:space="425" w:num="1"/>
          <w:docGrid w:type="lines" w:linePitch="312" w:charSpace="0"/>
        </w:sectPr>
      </w:pPr>
    </w:p>
    <w:tbl>
      <w:tblPr>
        <w:tblStyle w:val="6"/>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046"/>
        <w:gridCol w:w="666"/>
        <w:gridCol w:w="666"/>
        <w:gridCol w:w="666"/>
        <w:gridCol w:w="666"/>
        <w:gridCol w:w="653"/>
        <w:gridCol w:w="653"/>
        <w:gridCol w:w="653"/>
        <w:gridCol w:w="653"/>
        <w:gridCol w:w="653"/>
        <w:gridCol w:w="653"/>
        <w:gridCol w:w="653"/>
        <w:gridCol w:w="653"/>
        <w:gridCol w:w="653"/>
        <w:gridCol w:w="654"/>
        <w:gridCol w:w="654"/>
        <w:gridCol w:w="654"/>
        <w:gridCol w:w="654"/>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620" w:type="dxa"/>
            <w:gridSpan w:val="20"/>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362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2022年部门收入预算表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6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297"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6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部门（单位）代码</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72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3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119001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中共驻马店市委网络安全和信息化委员会办公室</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600" w:lineRule="exact"/>
        <w:jc w:val="both"/>
        <w:rPr>
          <w:rFonts w:hint="eastAsia" w:ascii="黑体" w:hAnsi="黑体" w:eastAsia="黑体" w:cs="黑体"/>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6"/>
        <w:gridCol w:w="459"/>
        <w:gridCol w:w="680"/>
        <w:gridCol w:w="2289"/>
        <w:gridCol w:w="1087"/>
        <w:gridCol w:w="1087"/>
        <w:gridCol w:w="1087"/>
        <w:gridCol w:w="1089"/>
        <w:gridCol w:w="1087"/>
        <w:gridCol w:w="1092"/>
        <w:gridCol w:w="1087"/>
        <w:gridCol w:w="1101"/>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2023年部门支出预算表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26"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eastAsia" w:ascii="黑体" w:hAnsi="黑体" w:eastAsia="黑体" w:cs="黑体"/>
          <w:sz w:val="32"/>
          <w:szCs w:val="32"/>
        </w:rPr>
      </w:pPr>
      <w:r>
        <w:rPr>
          <w:rFonts w:hint="eastAsia" w:ascii="黑体" w:hAnsi="黑体" w:eastAsia="黑体" w:cs="黑体"/>
          <w:sz w:val="32"/>
          <w:szCs w:val="32"/>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7"/>
        <w:gridCol w:w="1357"/>
        <w:gridCol w:w="2838"/>
        <w:gridCol w:w="1426"/>
        <w:gridCol w:w="1426"/>
        <w:gridCol w:w="1426"/>
        <w:gridCol w:w="1432"/>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3494"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50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35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政府性基金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6"/>
        <w:gridCol w:w="459"/>
        <w:gridCol w:w="681"/>
        <w:gridCol w:w="2289"/>
        <w:gridCol w:w="1087"/>
        <w:gridCol w:w="1087"/>
        <w:gridCol w:w="1087"/>
        <w:gridCol w:w="1089"/>
        <w:gridCol w:w="1087"/>
        <w:gridCol w:w="1101"/>
        <w:gridCol w:w="1087"/>
        <w:gridCol w:w="1089"/>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部门名称：</w:t>
            </w:r>
          </w:p>
        </w:tc>
        <w:tc>
          <w:tcPr>
            <w:tcW w:w="4126"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45"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备注：本表仅含当年财政拨款安排的支出</w:t>
            </w:r>
          </w:p>
        </w:tc>
        <w:tc>
          <w:tcPr>
            <w:tcW w:w="3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jc w:val="both"/>
        <w:rPr>
          <w:rFonts w:hint="eastAsia" w:ascii="黑体" w:hAnsi="黑体" w:eastAsia="黑体" w:cs="黑体"/>
          <w:sz w:val="32"/>
          <w:szCs w:val="32"/>
        </w:rPr>
      </w:pPr>
    </w:p>
    <w:p>
      <w:pPr>
        <w:spacing w:line="600" w:lineRule="exact"/>
      </w:pPr>
    </w:p>
    <w:tbl>
      <w:tblPr>
        <w:tblStyle w:val="6"/>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2460"/>
        <w:gridCol w:w="1845"/>
        <w:gridCol w:w="2460"/>
        <w:gridCol w:w="1845"/>
        <w:gridCol w:w="184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45"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1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045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184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政府预算支出经济分类科目编码</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pPr>
    </w:p>
    <w:p>
      <w: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96"/>
        <w:gridCol w:w="1035"/>
        <w:gridCol w:w="486"/>
        <w:gridCol w:w="396"/>
        <w:gridCol w:w="1035"/>
        <w:gridCol w:w="859"/>
        <w:gridCol w:w="859"/>
        <w:gridCol w:w="859"/>
        <w:gridCol w:w="860"/>
        <w:gridCol w:w="860"/>
        <w:gridCol w:w="860"/>
        <w:gridCol w:w="860"/>
        <w:gridCol w:w="860"/>
        <w:gridCol w:w="860"/>
        <w:gridCol w:w="860"/>
        <w:gridCol w:w="877"/>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2023年支出经济分类汇总表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4"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部门名称：  </w:t>
            </w:r>
          </w:p>
        </w:tc>
        <w:tc>
          <w:tcPr>
            <w:tcW w:w="4062" w:type="pct"/>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12"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专用设备购置</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伙食补助费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城镇职工基本医疗保险缴费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pPr>
    </w:p>
    <w:p>
      <w:pPr>
        <w:spacing w:line="600" w:lineRule="exact"/>
      </w:pPr>
    </w:p>
    <w:p>
      <w:r>
        <w:br w:type="page"/>
      </w:r>
    </w:p>
    <w:tbl>
      <w:tblPr>
        <w:tblStyle w:val="6"/>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0"/>
        <w:gridCol w:w="2340"/>
        <w:gridCol w:w="2340"/>
        <w:gridCol w:w="2340"/>
        <w:gridCol w:w="234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3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23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7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456"/>
        <w:gridCol w:w="465"/>
        <w:gridCol w:w="680"/>
        <w:gridCol w:w="2282"/>
        <w:gridCol w:w="1086"/>
        <w:gridCol w:w="1086"/>
        <w:gridCol w:w="1086"/>
        <w:gridCol w:w="1086"/>
        <w:gridCol w:w="1086"/>
        <w:gridCol w:w="1086"/>
        <w:gridCol w:w="1086"/>
        <w:gridCol w:w="1089"/>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2023年政府性基金支出预算表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10"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0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73"/>
        <w:gridCol w:w="1174"/>
        <w:gridCol w:w="1174"/>
        <w:gridCol w:w="1174"/>
        <w:gridCol w:w="1174"/>
        <w:gridCol w:w="1179"/>
        <w:gridCol w:w="1174"/>
        <w:gridCol w:w="1174"/>
        <w:gridCol w:w="1179"/>
        <w:gridCol w:w="1196"/>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48"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3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网络专线使用及密码机升级</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国家网络安全宣传周及其它网络安全宣传活动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网络安全工作责任制监督检查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年度值班补助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网络舆情刊物编印及舆情引导处置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p>
      <w:pPr>
        <w:rPr>
          <w:rFonts w:hint="default" w:eastAsia="宋体"/>
          <w:lang w:val="en-US" w:eastAsia="zh-CN"/>
        </w:rPr>
        <w:sectPr>
          <w:pgSz w:w="16838" w:h="11906" w:orient="landscape"/>
          <w:pgMar w:top="1587" w:right="1440" w:bottom="1474" w:left="1440" w:header="851" w:footer="992" w:gutter="0"/>
          <w:cols w:space="0" w:num="1"/>
          <w:rtlGutter w:val="0"/>
          <w:docGrid w:type="lines" w:linePitch="315"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1399"/>
        <w:gridCol w:w="2118"/>
        <w:gridCol w:w="1124"/>
        <w:gridCol w:w="3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本级部门(单位)整体绩效目标表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部门（单位）名称  </w:t>
            </w:r>
          </w:p>
        </w:tc>
        <w:tc>
          <w:tcPr>
            <w:tcW w:w="3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42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贯彻落实中央关于网络安全和信息化工作的方针政策及省委、省政府、市委、市政府部署;指导推进全市党政部门、重点行业网络安全保障和信息化工作,全面开展网上正面宣传，提升我市城市形象。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年市委网信办整体绩效</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贯彻落实中央关于网络安全和信息化工作的方针政策及省委、省政府、市委、市政府部署;指导推进全市党政部门、重点行业网络安全保障和信息化工作,全面开展网上正面宣传，提升我市城市形象。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预算情况  </w:t>
            </w: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1、资金来源：（1）政府预算资金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2、资金结构：（1）基本支出</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（2）项目支出</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投入管理指标  </w:t>
            </w: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工作目标管理  </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预算和财务管理  </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1.部门所有收入是否全部纳入部门预算；2.部门支出预算是否统筹各类资金来源，全部纳入部门预算管理。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专项资金细化率=（已细化到具体市县和承担单位的资金数/部门参与分配资金总数）×100%。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“三公经费”控制率=本年度“三公经费”实际支出数/“三公经费”预算数*100%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反映本部门决算工作情况。决算编制数据是否账表一致，即决算报表数据与会计账簿数据是否一致。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绩效管理  </w:t>
            </w:r>
          </w:p>
        </w:tc>
        <w:tc>
          <w:tcPr>
            <w:tcW w:w="116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部门（单位）按要求实施绩效自评的项目数量占应实施绩效自评项目总数的比重。部门绩效自评完成率=已完成评价项目数量/部门项目总数*100%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部门重点绩效评价项目评价完成情况。部门绩效评价完成率=已完成评价项目数量/部门重点绩效评价项目数*100%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任务完成率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目标实现率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高效快捷</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群众满意率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p>
      <w:pPr>
        <w:rPr>
          <w:rFonts w:hint="default" w:eastAsia="宋体"/>
          <w:lang w:val="en-US" w:eastAsia="zh-CN"/>
        </w:rPr>
        <w:sectPr>
          <w:pgSz w:w="11906" w:h="16838"/>
          <w:pgMar w:top="1440" w:right="1474" w:bottom="1440" w:left="1587" w:header="851" w:footer="992" w:gutter="0"/>
          <w:cols w:space="0" w:num="1"/>
          <w:rtlGutter w:val="0"/>
          <w:docGrid w:type="lines" w:linePitch="315"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1094"/>
        <w:gridCol w:w="666"/>
        <w:gridCol w:w="666"/>
        <w:gridCol w:w="513"/>
        <w:gridCol w:w="519"/>
        <w:gridCol w:w="1103"/>
        <w:gridCol w:w="846"/>
        <w:gridCol w:w="1168"/>
        <w:gridCol w:w="846"/>
        <w:gridCol w:w="1111"/>
        <w:gridCol w:w="1205"/>
        <w:gridCol w:w="1111"/>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2023年度部门预算项目绩效目标表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525"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单位编码（项目编码）</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 （项目名称）</w:t>
            </w:r>
          </w:p>
        </w:tc>
        <w:tc>
          <w:tcPr>
            <w:tcW w:w="9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项目金额（万元）</w:t>
            </w:r>
          </w:p>
        </w:tc>
        <w:tc>
          <w:tcPr>
            <w:tcW w:w="31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成本指标  </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满意度指标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119001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411700220000000014336</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网络安全工作责任制监督检查</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网络安全演练费用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网络安全应急演练次数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全年无重大网络安全事件发生，无重大经济损失</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全年无重大网络安全事件发生，无重大经济损失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网络安全检查费用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≤2万元/家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举办网络安全专题讲座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社会安定有序，网络环境平稳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社会安定有序，网络环境平稳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间接对象满意度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bookmarkStart w:id="0" w:name="_GoBack"/>
            <w:bookmarkEnd w:id="0"/>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网络安全专题讲座费用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网络安全检查单位及企业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全市网络安全系数提升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全市网络安全系数提升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411700220000000020721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网络舆情刊物编印及舆情引导处置</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总成本</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网络舆情环境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网络环境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互联网网络环境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舆情处置</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及时得当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不发生重大舆情事件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411700220000000022491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年度值班补助</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值班补助标准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100-200元/天</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7*24小时值班值守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不间断值班。</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网络环境情况</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全市网络环境持续清朗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直接服务对象满意度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网络隐患发现及时性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第一时间发现网络隐患</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间接服务对象满意度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网络重大安全事故发生情况</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一年内不发生网络重大安全事故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411700230000000004020</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国家网络安全宣传周及其它网络安全宣传活动</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人均培训成本控制在100元左右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≤100元/人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培训参加人数。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≥10000人次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带动市级网络安全维护公司的发展。</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网络安全投入加大。</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网安周宣发品突出持续性影响。成本不超过50元/件。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宣发品非一次性纸质传单。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举办网络安全培训1次。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带动各行各业网络安全维护升级。</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网络安全投入加大。</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培训讲师费用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培训内容丰富。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讲课内容通俗易懂，贴近现实。</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无环境污染，可持续。</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宣传品可持续使用。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减少纸张浪费，宣发品突出环保可持续使用。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宣发品非一次性纸质传单。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持续性影响群众。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群众对网络安全认识加深。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411700230000000019047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网络专线使用及密码机升级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办公网络通畅，视频会议正常。</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运转正常。</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直接服务对象满意度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bl>
    <w:p>
      <w:pPr>
        <w:rPr>
          <w:rFonts w:hint="default" w:eastAsia="宋体"/>
          <w:lang w:val="en-US" w:eastAsia="zh-CN"/>
        </w:rPr>
      </w:pPr>
    </w:p>
    <w:sectPr>
      <w:pgSz w:w="16838" w:h="11906" w:orient="landscape"/>
      <w:pgMar w:top="1587" w:right="1440" w:bottom="1474"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B7609"/>
    <w:multiLevelType w:val="singleLevel"/>
    <w:tmpl w:val="E4DB76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TJlNjY1OTE4Mjc3NjZjYTU2Y2Q1YTRhYmE4YWMifQ=="/>
  </w:docVars>
  <w:rsids>
    <w:rsidRoot w:val="00DB6E0A"/>
    <w:rsid w:val="00024F6B"/>
    <w:rsid w:val="00046304"/>
    <w:rsid w:val="00081A39"/>
    <w:rsid w:val="00082E97"/>
    <w:rsid w:val="00092293"/>
    <w:rsid w:val="000A57D3"/>
    <w:rsid w:val="000A793C"/>
    <w:rsid w:val="000B2C71"/>
    <w:rsid w:val="000D2EF0"/>
    <w:rsid w:val="000E1E98"/>
    <w:rsid w:val="000F00F0"/>
    <w:rsid w:val="000F07CF"/>
    <w:rsid w:val="00103B01"/>
    <w:rsid w:val="00130D39"/>
    <w:rsid w:val="00132510"/>
    <w:rsid w:val="00135319"/>
    <w:rsid w:val="00157DC9"/>
    <w:rsid w:val="00164490"/>
    <w:rsid w:val="0016485B"/>
    <w:rsid w:val="00174BB7"/>
    <w:rsid w:val="00197F39"/>
    <w:rsid w:val="001D3474"/>
    <w:rsid w:val="001F0097"/>
    <w:rsid w:val="001F0DC7"/>
    <w:rsid w:val="001F3EA8"/>
    <w:rsid w:val="00267A52"/>
    <w:rsid w:val="00277F07"/>
    <w:rsid w:val="00281F39"/>
    <w:rsid w:val="00282C62"/>
    <w:rsid w:val="002A5C59"/>
    <w:rsid w:val="002C63F2"/>
    <w:rsid w:val="00313C25"/>
    <w:rsid w:val="00321C62"/>
    <w:rsid w:val="00322205"/>
    <w:rsid w:val="00357CD3"/>
    <w:rsid w:val="0036405E"/>
    <w:rsid w:val="00380842"/>
    <w:rsid w:val="00394026"/>
    <w:rsid w:val="003B307C"/>
    <w:rsid w:val="003D2251"/>
    <w:rsid w:val="003D4DA1"/>
    <w:rsid w:val="003F281A"/>
    <w:rsid w:val="003F6FA5"/>
    <w:rsid w:val="00402A63"/>
    <w:rsid w:val="004059A2"/>
    <w:rsid w:val="00413874"/>
    <w:rsid w:val="0041494C"/>
    <w:rsid w:val="00425830"/>
    <w:rsid w:val="004402A9"/>
    <w:rsid w:val="00440E08"/>
    <w:rsid w:val="0044221E"/>
    <w:rsid w:val="00445854"/>
    <w:rsid w:val="004523F4"/>
    <w:rsid w:val="00475A3F"/>
    <w:rsid w:val="00485E69"/>
    <w:rsid w:val="00486CF5"/>
    <w:rsid w:val="00495029"/>
    <w:rsid w:val="004B1C7F"/>
    <w:rsid w:val="004B2AB1"/>
    <w:rsid w:val="004B5AC1"/>
    <w:rsid w:val="004D3E72"/>
    <w:rsid w:val="00517F70"/>
    <w:rsid w:val="00520079"/>
    <w:rsid w:val="00520C68"/>
    <w:rsid w:val="005458CE"/>
    <w:rsid w:val="00547FA8"/>
    <w:rsid w:val="005653F6"/>
    <w:rsid w:val="00574E19"/>
    <w:rsid w:val="00593ACE"/>
    <w:rsid w:val="00594B0A"/>
    <w:rsid w:val="005A7D02"/>
    <w:rsid w:val="005C73B8"/>
    <w:rsid w:val="00624C7A"/>
    <w:rsid w:val="00655743"/>
    <w:rsid w:val="00660C03"/>
    <w:rsid w:val="00676BA6"/>
    <w:rsid w:val="00691D56"/>
    <w:rsid w:val="00697E78"/>
    <w:rsid w:val="006A220B"/>
    <w:rsid w:val="006B3606"/>
    <w:rsid w:val="006B3FE3"/>
    <w:rsid w:val="00700239"/>
    <w:rsid w:val="00700B9A"/>
    <w:rsid w:val="007136D4"/>
    <w:rsid w:val="00737C3B"/>
    <w:rsid w:val="00755247"/>
    <w:rsid w:val="0076118A"/>
    <w:rsid w:val="00791B9D"/>
    <w:rsid w:val="007922C8"/>
    <w:rsid w:val="007A040A"/>
    <w:rsid w:val="007B4386"/>
    <w:rsid w:val="007D4A49"/>
    <w:rsid w:val="007D7A4A"/>
    <w:rsid w:val="007E0369"/>
    <w:rsid w:val="007E6EE0"/>
    <w:rsid w:val="00804982"/>
    <w:rsid w:val="0086203B"/>
    <w:rsid w:val="0087679C"/>
    <w:rsid w:val="008803FE"/>
    <w:rsid w:val="00882505"/>
    <w:rsid w:val="008A14DB"/>
    <w:rsid w:val="008A2A42"/>
    <w:rsid w:val="008B58F3"/>
    <w:rsid w:val="008B63CD"/>
    <w:rsid w:val="008C6D08"/>
    <w:rsid w:val="008D1B9C"/>
    <w:rsid w:val="008D5A65"/>
    <w:rsid w:val="008F0447"/>
    <w:rsid w:val="008F3BA6"/>
    <w:rsid w:val="00912829"/>
    <w:rsid w:val="00914D64"/>
    <w:rsid w:val="00926A33"/>
    <w:rsid w:val="009507BF"/>
    <w:rsid w:val="009574C3"/>
    <w:rsid w:val="00965F4F"/>
    <w:rsid w:val="00987F87"/>
    <w:rsid w:val="0099182F"/>
    <w:rsid w:val="009B17AE"/>
    <w:rsid w:val="009B1DCD"/>
    <w:rsid w:val="00A0087B"/>
    <w:rsid w:val="00A0547F"/>
    <w:rsid w:val="00A111CB"/>
    <w:rsid w:val="00A51477"/>
    <w:rsid w:val="00A6587F"/>
    <w:rsid w:val="00A75D9C"/>
    <w:rsid w:val="00A83E1B"/>
    <w:rsid w:val="00AA09FD"/>
    <w:rsid w:val="00AB26EC"/>
    <w:rsid w:val="00AE18EF"/>
    <w:rsid w:val="00B02CDE"/>
    <w:rsid w:val="00B16384"/>
    <w:rsid w:val="00B32090"/>
    <w:rsid w:val="00B35C03"/>
    <w:rsid w:val="00B406C6"/>
    <w:rsid w:val="00B60387"/>
    <w:rsid w:val="00B62A35"/>
    <w:rsid w:val="00B71283"/>
    <w:rsid w:val="00B8118B"/>
    <w:rsid w:val="00BB32E4"/>
    <w:rsid w:val="00BB5328"/>
    <w:rsid w:val="00BC25A8"/>
    <w:rsid w:val="00BC482D"/>
    <w:rsid w:val="00BF3E2E"/>
    <w:rsid w:val="00C05FD2"/>
    <w:rsid w:val="00C1216D"/>
    <w:rsid w:val="00C16BCC"/>
    <w:rsid w:val="00C24430"/>
    <w:rsid w:val="00C32353"/>
    <w:rsid w:val="00C324EE"/>
    <w:rsid w:val="00C46EC8"/>
    <w:rsid w:val="00C547E8"/>
    <w:rsid w:val="00C555BA"/>
    <w:rsid w:val="00C822B5"/>
    <w:rsid w:val="00C84D92"/>
    <w:rsid w:val="00C961DC"/>
    <w:rsid w:val="00C97DB5"/>
    <w:rsid w:val="00CB5205"/>
    <w:rsid w:val="00CC09A9"/>
    <w:rsid w:val="00CF06D4"/>
    <w:rsid w:val="00D06F40"/>
    <w:rsid w:val="00D1533C"/>
    <w:rsid w:val="00D1724E"/>
    <w:rsid w:val="00D263AD"/>
    <w:rsid w:val="00D32AF5"/>
    <w:rsid w:val="00D43271"/>
    <w:rsid w:val="00D66752"/>
    <w:rsid w:val="00DB6E0A"/>
    <w:rsid w:val="00DC2B51"/>
    <w:rsid w:val="00DD2FFD"/>
    <w:rsid w:val="00DD6237"/>
    <w:rsid w:val="00DD6651"/>
    <w:rsid w:val="00E16978"/>
    <w:rsid w:val="00E247EF"/>
    <w:rsid w:val="00E42482"/>
    <w:rsid w:val="00E42FC7"/>
    <w:rsid w:val="00E504A7"/>
    <w:rsid w:val="00E66C96"/>
    <w:rsid w:val="00E90CF6"/>
    <w:rsid w:val="00E95E4C"/>
    <w:rsid w:val="00E962BF"/>
    <w:rsid w:val="00EB1647"/>
    <w:rsid w:val="00ED0313"/>
    <w:rsid w:val="00EF00AC"/>
    <w:rsid w:val="00EF0A3A"/>
    <w:rsid w:val="00F26566"/>
    <w:rsid w:val="00F31989"/>
    <w:rsid w:val="00F3215C"/>
    <w:rsid w:val="00F32AF3"/>
    <w:rsid w:val="00F33AA2"/>
    <w:rsid w:val="00F372DE"/>
    <w:rsid w:val="00F43772"/>
    <w:rsid w:val="00F47160"/>
    <w:rsid w:val="00F471FF"/>
    <w:rsid w:val="00F71085"/>
    <w:rsid w:val="00F82CBC"/>
    <w:rsid w:val="00F846C0"/>
    <w:rsid w:val="00F87D66"/>
    <w:rsid w:val="00FA0F9B"/>
    <w:rsid w:val="00FA6BF0"/>
    <w:rsid w:val="00FB172E"/>
    <w:rsid w:val="00FB5612"/>
    <w:rsid w:val="00FC0622"/>
    <w:rsid w:val="00FC6DFC"/>
    <w:rsid w:val="00FD4CB7"/>
    <w:rsid w:val="079151F7"/>
    <w:rsid w:val="085404EC"/>
    <w:rsid w:val="08807AA3"/>
    <w:rsid w:val="0A1D3FCA"/>
    <w:rsid w:val="0CB32593"/>
    <w:rsid w:val="10AA7B49"/>
    <w:rsid w:val="10F7009F"/>
    <w:rsid w:val="135C1072"/>
    <w:rsid w:val="1488753C"/>
    <w:rsid w:val="17324E85"/>
    <w:rsid w:val="19230D1C"/>
    <w:rsid w:val="1EFB577C"/>
    <w:rsid w:val="222A5779"/>
    <w:rsid w:val="2620656D"/>
    <w:rsid w:val="2AAF63FE"/>
    <w:rsid w:val="2AB50CCA"/>
    <w:rsid w:val="306F2D35"/>
    <w:rsid w:val="34787E99"/>
    <w:rsid w:val="425209DB"/>
    <w:rsid w:val="47B95B8F"/>
    <w:rsid w:val="4C1F238B"/>
    <w:rsid w:val="4D744646"/>
    <w:rsid w:val="4D842029"/>
    <w:rsid w:val="538452A3"/>
    <w:rsid w:val="547036DB"/>
    <w:rsid w:val="55147D65"/>
    <w:rsid w:val="59071320"/>
    <w:rsid w:val="62FF243E"/>
    <w:rsid w:val="63DE0B9F"/>
    <w:rsid w:val="645A7E9B"/>
    <w:rsid w:val="65E0144C"/>
    <w:rsid w:val="684A26C4"/>
    <w:rsid w:val="718151E2"/>
    <w:rsid w:val="722672AB"/>
    <w:rsid w:val="75EC3455"/>
    <w:rsid w:val="7BD515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paragraph" w:styleId="9">
    <w:name w:val="List Paragraph"/>
    <w:basedOn w:val="1"/>
    <w:qFormat/>
    <w:uiPriority w:val="99"/>
    <w:pPr>
      <w:ind w:firstLine="420" w:firstLineChars="200"/>
    </w:pPr>
  </w:style>
  <w:style w:type="character" w:customStyle="1" w:styleId="10">
    <w:name w:val="批注框文本 Char"/>
    <w:basedOn w:val="7"/>
    <w:link w:val="2"/>
    <w:semiHidden/>
    <w:qFormat/>
    <w:locked/>
    <w:uiPriority w:val="99"/>
    <w:rPr>
      <w:sz w:val="2"/>
      <w:szCs w:val="2"/>
    </w:rPr>
  </w:style>
  <w:style w:type="character" w:customStyle="1" w:styleId="11">
    <w:name w:val="页眉 Char"/>
    <w:basedOn w:val="7"/>
    <w:link w:val="4"/>
    <w:semiHidden/>
    <w:qFormat/>
    <w:uiPriority w:val="99"/>
    <w:rPr>
      <w:rFonts w:cs="Calibri"/>
      <w:sz w:val="18"/>
      <w:szCs w:val="18"/>
    </w:rPr>
  </w:style>
  <w:style w:type="character" w:customStyle="1" w:styleId="12">
    <w:name w:val="页脚 Char"/>
    <w:basedOn w:val="7"/>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11119</Words>
  <Characters>13160</Characters>
  <Lines>41</Lines>
  <Paragraphs>11</Paragraphs>
  <TotalTime>3</TotalTime>
  <ScaleCrop>false</ScaleCrop>
  <LinksUpToDate>false</LinksUpToDate>
  <CharactersWithSpaces>13544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2017-11-03T04:07:00Z</dcterms:created>
  <dc:creator>6102</dc:creator>
  <cp:lastModifiedBy>Administrator</cp:lastModifiedBy>
  <cp:lastPrinted>2018-03-22T04:03:00Z</cp:lastPrinted>
  <dcterms:modified xsi:type="dcterms:W3CDTF">2023-01-29T07:53:12Z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9E2F86D91E1647349CD6F31CA783995C</vt:lpwstr>
  </property>
</Properties>
</file>